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79EA1" w14:textId="2C8161DE" w:rsidR="001E0C26" w:rsidRPr="001E0C26" w:rsidRDefault="001E0C26" w:rsidP="009D7BB3">
      <w:pPr>
        <w:jc w:val="both"/>
        <w:rPr>
          <w:rFonts w:asciiTheme="majorHAnsi" w:eastAsia="Times New Roman" w:hAnsiTheme="majorHAnsi" w:cstheme="majorHAnsi"/>
          <w:b/>
          <w:i/>
          <w:lang w:val="en-US"/>
        </w:rPr>
      </w:pPr>
      <w:r w:rsidRPr="001E0C26">
        <w:rPr>
          <w:rFonts w:asciiTheme="majorHAnsi" w:eastAsia="Times New Roman" w:hAnsiTheme="majorHAnsi" w:cstheme="majorHAnsi"/>
          <w:b/>
          <w:i/>
          <w:lang w:val="en-US"/>
        </w:rPr>
        <w:t xml:space="preserve">The securities described in this </w:t>
      </w:r>
      <w:r w:rsidR="00A6092F">
        <w:rPr>
          <w:rFonts w:asciiTheme="majorHAnsi" w:eastAsia="Times New Roman" w:hAnsiTheme="majorHAnsi" w:cstheme="majorHAnsi"/>
          <w:b/>
          <w:i/>
          <w:lang w:val="en-US"/>
        </w:rPr>
        <w:t xml:space="preserve">Amended and Restated </w:t>
      </w:r>
      <w:r w:rsidRPr="001E0C26">
        <w:rPr>
          <w:rFonts w:asciiTheme="majorHAnsi" w:eastAsia="Times New Roman" w:hAnsiTheme="majorHAnsi" w:cstheme="majorHAnsi"/>
          <w:b/>
          <w:i/>
          <w:lang w:val="en-US"/>
        </w:rPr>
        <w:t xml:space="preserve">Offering Document </w:t>
      </w:r>
      <w:r w:rsidR="00A6092F">
        <w:rPr>
          <w:rFonts w:asciiTheme="majorHAnsi" w:eastAsia="Times New Roman" w:hAnsiTheme="majorHAnsi" w:cstheme="majorHAnsi"/>
          <w:b/>
          <w:i/>
          <w:lang w:val="en-US"/>
        </w:rPr>
        <w:t xml:space="preserve">(the </w:t>
      </w:r>
      <w:r w:rsidR="00792081" w:rsidRPr="00792081">
        <w:rPr>
          <w:rFonts w:asciiTheme="majorHAnsi" w:eastAsia="Times New Roman" w:hAnsiTheme="majorHAnsi" w:cstheme="majorHAnsi"/>
          <w:b/>
          <w:i/>
          <w:lang w:val="en-US"/>
        </w:rPr>
        <w:t>"</w:t>
      </w:r>
      <w:r w:rsidR="00A6092F">
        <w:rPr>
          <w:rFonts w:asciiTheme="majorHAnsi" w:eastAsia="Times New Roman" w:hAnsiTheme="majorHAnsi" w:cstheme="majorHAnsi"/>
          <w:b/>
          <w:i/>
          <w:lang w:val="en-US"/>
        </w:rPr>
        <w:t>Offering Document</w:t>
      </w:r>
      <w:r w:rsidR="00792081" w:rsidRPr="00792081">
        <w:rPr>
          <w:rFonts w:asciiTheme="majorHAnsi" w:eastAsia="Times New Roman" w:hAnsiTheme="majorHAnsi" w:cstheme="majorHAnsi"/>
          <w:b/>
          <w:i/>
          <w:lang w:val="en-US"/>
        </w:rPr>
        <w:t>"</w:t>
      </w:r>
      <w:r w:rsidR="00A6092F">
        <w:rPr>
          <w:rFonts w:asciiTheme="majorHAnsi" w:eastAsia="Times New Roman" w:hAnsiTheme="majorHAnsi" w:cstheme="majorHAnsi"/>
          <w:b/>
          <w:i/>
          <w:lang w:val="en-US"/>
        </w:rPr>
        <w:t xml:space="preserve">) </w:t>
      </w:r>
      <w:r w:rsidRPr="001E0C26">
        <w:rPr>
          <w:rFonts w:asciiTheme="majorHAnsi" w:eastAsia="Times New Roman" w:hAnsiTheme="majorHAnsi" w:cstheme="majorHAnsi"/>
          <w:b/>
          <w:i/>
          <w:lang w:val="en-US"/>
        </w:rPr>
        <w:t xml:space="preserve">have not been registered under the United States Securities Act of 1933, as amended (the “U.S. Securities Act”), or any of the securities laws of any state of the United States, and may not be offered or sold within the United States except pursuant to an exemption from the registration requirements of the U.S. Securities Act and applicable U.S. state securities laws. This Offering Document does not constitute or form part of, and should not be construed as an offer to sell, or subscribe, or the solicitation or invitation of an offer to subscribe or buy, any of the securities described herein within the United States or in any other jurisdiction in which an offer, solicitation, invitation or sale would be unlawful prior to registration or qualification under the securities laws of that jurisdiction. “United States” has the meaning ascribed to it in Regulation S under the U.S. Securities Act. In the United Kingdom, this Offering Document is directed only to </w:t>
      </w:r>
      <w:r w:rsidRPr="001E0C26">
        <w:rPr>
          <w:rFonts w:asciiTheme="majorHAnsi" w:eastAsia="Times New Roman" w:hAnsiTheme="majorHAnsi" w:cstheme="majorHAnsi"/>
          <w:b/>
          <w:i/>
        </w:rPr>
        <w:t xml:space="preserve">"qualified investors" as defined under Paragraph 15 of Schedule 1 to the UK Public Offers and Admissions to Trading Regulations 2024 and within an applicable exemption from any restrictions on financial promotion under the Financial Services and Markets Act 2000 or otherwise. </w:t>
      </w:r>
      <w:r w:rsidRPr="001E0C26">
        <w:rPr>
          <w:rFonts w:asciiTheme="majorHAnsi" w:eastAsia="Times New Roman" w:hAnsiTheme="majorHAnsi" w:cstheme="majorHAnsi"/>
          <w:b/>
          <w:i/>
          <w:lang w:val="en-US"/>
        </w:rPr>
        <w:t xml:space="preserve"> </w:t>
      </w:r>
    </w:p>
    <w:p w14:paraId="5B8F22AC" w14:textId="77777777" w:rsidR="00472735" w:rsidRDefault="00472735" w:rsidP="00472735"/>
    <w:p w14:paraId="5C1EAE2D" w14:textId="77777777" w:rsidR="00A6092F" w:rsidRDefault="00A6092F" w:rsidP="00A6092F">
      <w:pPr>
        <w:jc w:val="center"/>
        <w:rPr>
          <w:b/>
          <w:bCs/>
        </w:rPr>
      </w:pPr>
      <w:r>
        <w:rPr>
          <w:b/>
          <w:bCs/>
        </w:rPr>
        <w:t xml:space="preserve">Amended and Restated </w:t>
      </w:r>
      <w:r w:rsidRPr="00D3534B">
        <w:rPr>
          <w:b/>
          <w:bCs/>
        </w:rPr>
        <w:t xml:space="preserve">Offering Document </w:t>
      </w:r>
    </w:p>
    <w:p w14:paraId="33414A92" w14:textId="2A6809E8" w:rsidR="00A6092F" w:rsidRDefault="00A6092F" w:rsidP="00A6092F">
      <w:pPr>
        <w:jc w:val="center"/>
        <w:rPr>
          <w:b/>
          <w:bCs/>
        </w:rPr>
      </w:pPr>
      <w:r>
        <w:rPr>
          <w:b/>
          <w:bCs/>
        </w:rPr>
        <w:t>U</w:t>
      </w:r>
      <w:r w:rsidRPr="00D3534B">
        <w:rPr>
          <w:b/>
          <w:bCs/>
        </w:rPr>
        <w:t>nder the Listed Issuer Financing Exemption</w:t>
      </w:r>
    </w:p>
    <w:p w14:paraId="7B15D9B2" w14:textId="066B0B32" w:rsidR="00A6092F" w:rsidRDefault="00A6092F" w:rsidP="00A6092F">
      <w:pPr>
        <w:jc w:val="center"/>
        <w:rPr>
          <w:b/>
          <w:bCs/>
        </w:rPr>
      </w:pPr>
      <w:r>
        <w:rPr>
          <w:b/>
          <w:bCs/>
        </w:rPr>
        <w:t>February 3, 2026</w:t>
      </w:r>
    </w:p>
    <w:p w14:paraId="3EFEB87E" w14:textId="527D3F69" w:rsidR="00A6092F" w:rsidRPr="00A6092F" w:rsidRDefault="00A6092F" w:rsidP="00A6092F">
      <w:pPr>
        <w:spacing w:before="120"/>
        <w:jc w:val="center"/>
        <w:rPr>
          <w:b/>
          <w:bCs/>
        </w:rPr>
      </w:pPr>
      <w:r w:rsidRPr="00A6092F">
        <w:rPr>
          <w:b/>
          <w:bCs/>
        </w:rPr>
        <w:t>(</w:t>
      </w:r>
      <w:r>
        <w:rPr>
          <w:b/>
          <w:bCs/>
        </w:rPr>
        <w:t>A</w:t>
      </w:r>
      <w:r w:rsidRPr="00A6092F">
        <w:rPr>
          <w:b/>
          <w:bCs/>
        </w:rPr>
        <w:t>mending and restating the previous Offering Document dated February 2, 2026)</w:t>
      </w:r>
    </w:p>
    <w:p w14:paraId="058C8547" w14:textId="77777777" w:rsidR="00A6092F" w:rsidRDefault="00A6092F" w:rsidP="00A6092F">
      <w:pPr>
        <w:jc w:val="center"/>
      </w:pPr>
    </w:p>
    <w:p w14:paraId="45775089" w14:textId="055D60DB" w:rsidR="00472735" w:rsidRDefault="007F23FD" w:rsidP="00472735">
      <w:pPr>
        <w:pStyle w:val="TextCenter"/>
        <w:spacing w:after="120"/>
        <w:rPr>
          <w:b/>
          <w:bCs/>
        </w:rPr>
      </w:pPr>
      <w:r>
        <w:rPr>
          <w:b/>
          <w:bCs/>
          <w:noProof/>
        </w:rPr>
        <w:drawing>
          <wp:inline distT="0" distB="0" distL="0" distR="0" wp14:anchorId="6987978F" wp14:editId="6FA4BF0D">
            <wp:extent cx="3200409" cy="826936"/>
            <wp:effectExtent l="0" t="0" r="0" b="0"/>
            <wp:docPr id="615782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11840" cy="829890"/>
                    </a:xfrm>
                    <a:prstGeom prst="rect">
                      <a:avLst/>
                    </a:prstGeom>
                    <a:noFill/>
                  </pic:spPr>
                </pic:pic>
              </a:graphicData>
            </a:graphic>
          </wp:inline>
        </w:drawing>
      </w:r>
    </w:p>
    <w:p w14:paraId="0D596C84" w14:textId="5D15BFE4" w:rsidR="00472735" w:rsidRDefault="00EF30B0" w:rsidP="00A6092F">
      <w:pPr>
        <w:pStyle w:val="TextCenter"/>
        <w:spacing w:before="240" w:after="120"/>
        <w:rPr>
          <w:b/>
          <w:bCs/>
        </w:rPr>
      </w:pPr>
      <w:r>
        <w:rPr>
          <w:b/>
          <w:bCs/>
        </w:rPr>
        <w:t>TAG Oil Ltd.</w:t>
      </w:r>
      <w:r w:rsidR="00472735">
        <w:rPr>
          <w:b/>
          <w:bCs/>
        </w:rPr>
        <w:t xml:space="preserve"> (</w:t>
      </w:r>
      <w:r w:rsidR="00792081" w:rsidRPr="00792081">
        <w:rPr>
          <w:b/>
          <w:bCs/>
        </w:rPr>
        <w:t>"</w:t>
      </w:r>
      <w:r>
        <w:rPr>
          <w:b/>
          <w:bCs/>
        </w:rPr>
        <w:t>TAG</w:t>
      </w:r>
      <w:r w:rsidR="00792081" w:rsidRPr="00792081">
        <w:rPr>
          <w:b/>
          <w:bCs/>
        </w:rPr>
        <w:t>"</w:t>
      </w:r>
      <w:r w:rsidR="00472735">
        <w:rPr>
          <w:b/>
          <w:bCs/>
        </w:rPr>
        <w:t xml:space="preserve"> or the </w:t>
      </w:r>
      <w:r w:rsidR="00792081" w:rsidRPr="00792081">
        <w:rPr>
          <w:b/>
          <w:bCs/>
        </w:rPr>
        <w:t>"</w:t>
      </w:r>
      <w:r w:rsidR="00472735">
        <w:rPr>
          <w:b/>
          <w:bCs/>
        </w:rPr>
        <w:t>Company</w:t>
      </w:r>
      <w:r w:rsidR="00792081" w:rsidRPr="00792081">
        <w:rPr>
          <w:b/>
          <w:bCs/>
        </w:rPr>
        <w:t>"</w:t>
      </w:r>
      <w:r w:rsidR="00472735">
        <w:rPr>
          <w:b/>
          <w:bCs/>
        </w:rPr>
        <w:t>)</w:t>
      </w:r>
    </w:p>
    <w:p w14:paraId="3AA4C823" w14:textId="77777777" w:rsidR="00472735" w:rsidRDefault="00472735" w:rsidP="00472735">
      <w:pPr>
        <w:pStyle w:val="TextCenter"/>
        <w:spacing w:after="120"/>
        <w:rPr>
          <w:b/>
          <w:bCs/>
        </w:rPr>
      </w:pPr>
      <w:r>
        <w:rPr>
          <w:b/>
          <w:bCs/>
        </w:rPr>
        <w:t>SUMMARY OF OFFERING</w:t>
      </w:r>
    </w:p>
    <w:p w14:paraId="5E9ECBCB" w14:textId="77777777" w:rsidR="00472735" w:rsidRDefault="00472735" w:rsidP="00472735">
      <w:pPr>
        <w:pStyle w:val="TextJustified"/>
        <w:rPr>
          <w:b/>
          <w:bCs/>
        </w:rPr>
      </w:pPr>
      <w:r>
        <w:rPr>
          <w:b/>
          <w:bCs/>
        </w:rPr>
        <w:t>What are we offering?</w:t>
      </w:r>
    </w:p>
    <w:tbl>
      <w:tblPr>
        <w:tblStyle w:val="TableGrid"/>
        <w:tblW w:w="0" w:type="auto"/>
        <w:tblLook w:val="04A0" w:firstRow="1" w:lastRow="0" w:firstColumn="1" w:lastColumn="0" w:noHBand="0" w:noVBand="1"/>
      </w:tblPr>
      <w:tblGrid>
        <w:gridCol w:w="1885"/>
        <w:gridCol w:w="7465"/>
      </w:tblGrid>
      <w:tr w:rsidR="00472735" w14:paraId="4A66D5FA" w14:textId="77777777" w:rsidTr="00192C1B">
        <w:tc>
          <w:tcPr>
            <w:tcW w:w="1885" w:type="dxa"/>
            <w:shd w:val="clear" w:color="auto" w:fill="D9D9D9" w:themeFill="background1" w:themeFillShade="D9"/>
          </w:tcPr>
          <w:p w14:paraId="0CFD05DD" w14:textId="77777777" w:rsidR="00472735" w:rsidRDefault="00472735" w:rsidP="00192C1B">
            <w:pPr>
              <w:pStyle w:val="TableText"/>
              <w:rPr>
                <w:b/>
                <w:bCs/>
              </w:rPr>
            </w:pPr>
            <w:r>
              <w:rPr>
                <w:b/>
                <w:bCs/>
              </w:rPr>
              <w:t>Offering:</w:t>
            </w:r>
          </w:p>
        </w:tc>
        <w:tc>
          <w:tcPr>
            <w:tcW w:w="7465" w:type="dxa"/>
          </w:tcPr>
          <w:p w14:paraId="0E6566E4" w14:textId="6D50C7C4" w:rsidR="00CC7B6C" w:rsidRDefault="00EF30B0" w:rsidP="00CC7B6C">
            <w:pPr>
              <w:pStyle w:val="TableText"/>
              <w:jc w:val="both"/>
            </w:pPr>
            <w:r>
              <w:t>A b</w:t>
            </w:r>
            <w:r w:rsidR="00472735">
              <w:t>rokered private placement of units (</w:t>
            </w:r>
            <w:r w:rsidR="00792081" w:rsidRPr="00792081">
              <w:t>"</w:t>
            </w:r>
            <w:r w:rsidR="00472735">
              <w:rPr>
                <w:b/>
                <w:bCs/>
              </w:rPr>
              <w:t>Placement</w:t>
            </w:r>
            <w:r w:rsidR="00472735">
              <w:t xml:space="preserve"> </w:t>
            </w:r>
            <w:r w:rsidR="00472735">
              <w:rPr>
                <w:b/>
                <w:bCs/>
              </w:rPr>
              <w:t>Units</w:t>
            </w:r>
            <w:r w:rsidR="00792081" w:rsidRPr="00792081">
              <w:t>"</w:t>
            </w:r>
            <w:r w:rsidR="00472735">
              <w:t xml:space="preserve">) of the Company, with each Placement Unit being comprised of one common share in the capital of the Company (a </w:t>
            </w:r>
            <w:r w:rsidR="00792081" w:rsidRPr="00792081">
              <w:t>"</w:t>
            </w:r>
            <w:r w:rsidR="00472735">
              <w:rPr>
                <w:b/>
                <w:bCs/>
              </w:rPr>
              <w:t>Common Share</w:t>
            </w:r>
            <w:r w:rsidR="00792081" w:rsidRPr="00792081">
              <w:t>"</w:t>
            </w:r>
            <w:r w:rsidR="00472735">
              <w:t xml:space="preserve">) and one Common Share purchase warrant (a </w:t>
            </w:r>
            <w:r w:rsidR="00792081" w:rsidRPr="00792081">
              <w:t>"</w:t>
            </w:r>
            <w:r w:rsidR="00472735">
              <w:rPr>
                <w:b/>
                <w:bCs/>
              </w:rPr>
              <w:t>Warran</w:t>
            </w:r>
            <w:r w:rsidR="00472735" w:rsidRPr="008B1B50">
              <w:rPr>
                <w:b/>
                <w:bCs/>
              </w:rPr>
              <w:t>t</w:t>
            </w:r>
            <w:r w:rsidR="00792081" w:rsidRPr="00792081">
              <w:t>"</w:t>
            </w:r>
            <w:r w:rsidR="00472735">
              <w:t xml:space="preserve">). Each whole Warrant will entitle the holder thereof to purchase one additional Common Share (each, a </w:t>
            </w:r>
            <w:r w:rsidR="00792081" w:rsidRPr="00792081">
              <w:t>"</w:t>
            </w:r>
            <w:r w:rsidR="00472735" w:rsidRPr="00E44C8E">
              <w:rPr>
                <w:b/>
                <w:bCs/>
              </w:rPr>
              <w:t>Warrant Share</w:t>
            </w:r>
            <w:r w:rsidR="00792081" w:rsidRPr="00792081">
              <w:t>"</w:t>
            </w:r>
            <w:r w:rsidR="00472735">
              <w:t xml:space="preserve">) at a price of </w:t>
            </w:r>
            <w:r w:rsidR="007D4F50">
              <w:t>$0.13</w:t>
            </w:r>
            <w:r w:rsidR="00472735">
              <w:t xml:space="preserve"> per Common Share</w:t>
            </w:r>
            <w:r w:rsidR="00574EAB">
              <w:t xml:space="preserve"> </w:t>
            </w:r>
            <w:r w:rsidR="00472735">
              <w:t>for a period of</w:t>
            </w:r>
            <w:r w:rsidR="00FB27B0">
              <w:t xml:space="preserve"> 48 </w:t>
            </w:r>
            <w:r w:rsidR="00CC7B6C">
              <w:t>months</w:t>
            </w:r>
            <w:r w:rsidR="00472735">
              <w:t xml:space="preserve"> following the Closing Date (as defined herein) provided</w:t>
            </w:r>
            <w:r w:rsidR="00574EAB">
              <w:t>.</w:t>
            </w:r>
          </w:p>
          <w:p w14:paraId="0176ECCB" w14:textId="661D557C" w:rsidR="00472735" w:rsidRDefault="00472735" w:rsidP="00CC7B6C">
            <w:pPr>
              <w:pStyle w:val="TableText"/>
              <w:jc w:val="both"/>
            </w:pPr>
            <w:r>
              <w:t>The holders of Common Shares are entitled to: (i) receive notice of, and to vote at every meeting of the shareholders of the Company and shall have one (1) vote for each Common Share held; (ii) receive such dividend as the directors may from time to time, by resolution, declare; and (iii) to share pro rata in the event of liquidation, dissolution or winding up of the Company or upon any distribution of the assets of the Company among shareholders (other than by way of dividend). The Common Shares do not carry any pre-emptive, subscription, redemption or conversion rights.</w:t>
            </w:r>
          </w:p>
        </w:tc>
      </w:tr>
      <w:tr w:rsidR="00472735" w14:paraId="1C48E9BC" w14:textId="77777777" w:rsidTr="00192C1B">
        <w:tc>
          <w:tcPr>
            <w:tcW w:w="1885" w:type="dxa"/>
            <w:shd w:val="clear" w:color="auto" w:fill="D9D9D9" w:themeFill="background1" w:themeFillShade="D9"/>
          </w:tcPr>
          <w:p w14:paraId="662BB46E" w14:textId="77777777" w:rsidR="00472735" w:rsidRDefault="00472735" w:rsidP="00192C1B">
            <w:pPr>
              <w:pStyle w:val="TableText"/>
              <w:rPr>
                <w:b/>
                <w:bCs/>
              </w:rPr>
            </w:pPr>
            <w:r>
              <w:rPr>
                <w:b/>
                <w:bCs/>
              </w:rPr>
              <w:t>Offering Price:</w:t>
            </w:r>
          </w:p>
        </w:tc>
        <w:tc>
          <w:tcPr>
            <w:tcW w:w="7465" w:type="dxa"/>
          </w:tcPr>
          <w:p w14:paraId="35B5D8BF" w14:textId="1FED9823" w:rsidR="00472735" w:rsidRPr="00BD57D0" w:rsidRDefault="007D4F50" w:rsidP="00192C1B">
            <w:pPr>
              <w:pStyle w:val="TableText"/>
              <w:jc w:val="both"/>
            </w:pPr>
            <w:r>
              <w:t>$0.10</w:t>
            </w:r>
            <w:r w:rsidR="00472735">
              <w:t xml:space="preserve"> per Placement Unit </w:t>
            </w:r>
            <w:r w:rsidR="00BD57D0">
              <w:t xml:space="preserve">(the </w:t>
            </w:r>
            <w:bookmarkStart w:id="0" w:name="_Hlk221024764"/>
            <w:r w:rsidR="00792081" w:rsidRPr="00792081">
              <w:t>"</w:t>
            </w:r>
            <w:bookmarkEnd w:id="0"/>
            <w:r w:rsidR="00BD57D0">
              <w:rPr>
                <w:b/>
                <w:bCs/>
              </w:rPr>
              <w:t>Issue Price</w:t>
            </w:r>
            <w:r w:rsidR="00792081" w:rsidRPr="00792081">
              <w:t>"</w:t>
            </w:r>
            <w:r w:rsidR="00BD57D0">
              <w:t>)</w:t>
            </w:r>
          </w:p>
        </w:tc>
      </w:tr>
      <w:tr w:rsidR="00472735" w14:paraId="2E5B7427" w14:textId="77777777" w:rsidTr="00192C1B">
        <w:tc>
          <w:tcPr>
            <w:tcW w:w="1885" w:type="dxa"/>
            <w:shd w:val="clear" w:color="auto" w:fill="D9D9D9" w:themeFill="background1" w:themeFillShade="D9"/>
          </w:tcPr>
          <w:p w14:paraId="343B9CAD" w14:textId="77777777" w:rsidR="00472735" w:rsidRDefault="00472735" w:rsidP="00192C1B">
            <w:pPr>
              <w:pStyle w:val="TableText"/>
              <w:rPr>
                <w:b/>
                <w:bCs/>
              </w:rPr>
            </w:pPr>
            <w:r>
              <w:rPr>
                <w:b/>
                <w:bCs/>
              </w:rPr>
              <w:lastRenderedPageBreak/>
              <w:t>Offering Amount:</w:t>
            </w:r>
          </w:p>
        </w:tc>
        <w:tc>
          <w:tcPr>
            <w:tcW w:w="7465" w:type="dxa"/>
          </w:tcPr>
          <w:p w14:paraId="20BFFBFB" w14:textId="41E9AA7B" w:rsidR="00A31873" w:rsidRDefault="00472735" w:rsidP="00192C1B">
            <w:pPr>
              <w:pStyle w:val="TableText"/>
              <w:jc w:val="both"/>
            </w:pPr>
            <w:r w:rsidRPr="00D3534B">
              <w:t xml:space="preserve">Up to </w:t>
            </w:r>
            <w:r w:rsidR="007D4F50">
              <w:t>5</w:t>
            </w:r>
            <w:r w:rsidR="00666872">
              <w:t>6</w:t>
            </w:r>
            <w:r w:rsidR="007D4F50">
              <w:t>,</w:t>
            </w:r>
            <w:r w:rsidR="00666872">
              <w:t>4</w:t>
            </w:r>
            <w:r w:rsidR="007D4F50">
              <w:t>00,000</w:t>
            </w:r>
            <w:r w:rsidRPr="00D3534B">
              <w:rPr>
                <w:b/>
                <w:bCs/>
              </w:rPr>
              <w:t xml:space="preserve"> </w:t>
            </w:r>
            <w:r w:rsidRPr="00D3534B">
              <w:t xml:space="preserve">Placement Units for gross proceeds of </w:t>
            </w:r>
            <w:r w:rsidRPr="00B8741E">
              <w:t>up to</w:t>
            </w:r>
            <w:r w:rsidR="00B8741E" w:rsidRPr="00B8741E">
              <w:t xml:space="preserve"> </w:t>
            </w:r>
            <w:r w:rsidRPr="00B8741E">
              <w:t>$</w:t>
            </w:r>
            <w:r w:rsidR="009B276F" w:rsidRPr="00B8741E">
              <w:t>5,</w:t>
            </w:r>
            <w:r w:rsidR="00666872">
              <w:t>640</w:t>
            </w:r>
            <w:r w:rsidR="009B276F" w:rsidRPr="00B8741E">
              <w:t>,000</w:t>
            </w:r>
            <w:r>
              <w:t xml:space="preserve"> (the </w:t>
            </w:r>
            <w:r w:rsidR="00792081" w:rsidRPr="00792081">
              <w:t>"</w:t>
            </w:r>
            <w:r>
              <w:rPr>
                <w:b/>
                <w:bCs/>
              </w:rPr>
              <w:t>Offering</w:t>
            </w:r>
            <w:r w:rsidR="00792081" w:rsidRPr="00792081">
              <w:t>"</w:t>
            </w:r>
            <w:r>
              <w:t>)</w:t>
            </w:r>
            <w:r w:rsidR="00A31873">
              <w:t xml:space="preserve"> on a “best efforts” basis </w:t>
            </w:r>
            <w:r w:rsidR="00A31873" w:rsidRPr="00A31873">
              <w:t>pursuant to an engagement letter dated</w:t>
            </w:r>
            <w:r w:rsidR="002A657B">
              <w:t xml:space="preserve"> January 29, 2026 and amended on</w:t>
            </w:r>
            <w:r w:rsidR="001159E6">
              <w:t xml:space="preserve"> </w:t>
            </w:r>
            <w:r w:rsidR="002A657B">
              <w:t>February 3</w:t>
            </w:r>
            <w:r w:rsidR="007D4F50">
              <w:t>, 2026</w:t>
            </w:r>
            <w:r w:rsidR="00A31873" w:rsidRPr="00A31873">
              <w:t xml:space="preserve"> (the "</w:t>
            </w:r>
            <w:r w:rsidR="00A31873" w:rsidRPr="00A31873">
              <w:rPr>
                <w:b/>
                <w:bCs/>
              </w:rPr>
              <w:t>Engagement Letter</w:t>
            </w:r>
            <w:r w:rsidR="00A31873" w:rsidRPr="00A31873">
              <w:t xml:space="preserve">") between the </w:t>
            </w:r>
            <w:r w:rsidR="00A31873">
              <w:t>Company</w:t>
            </w:r>
            <w:r w:rsidR="00A31873" w:rsidRPr="00A31873">
              <w:t xml:space="preserve"> and </w:t>
            </w:r>
            <w:r w:rsidR="00A31873">
              <w:t>Research Capital Corporation</w:t>
            </w:r>
            <w:r w:rsidR="00A31873" w:rsidRPr="00A31873">
              <w:t xml:space="preserve"> (the "</w:t>
            </w:r>
            <w:r w:rsidR="00A31873" w:rsidRPr="00A31873">
              <w:rPr>
                <w:b/>
                <w:bCs/>
              </w:rPr>
              <w:t xml:space="preserve">Lead </w:t>
            </w:r>
            <w:r w:rsidR="00BD57D0">
              <w:rPr>
                <w:b/>
                <w:bCs/>
              </w:rPr>
              <w:t>Agent</w:t>
            </w:r>
            <w:r w:rsidR="00A31873" w:rsidRPr="00A31873">
              <w:t xml:space="preserve">"), as lead </w:t>
            </w:r>
            <w:r w:rsidR="00BD57D0">
              <w:t>agent</w:t>
            </w:r>
            <w:r w:rsidR="00A31873" w:rsidRPr="00A31873">
              <w:t xml:space="preserve"> and sole bookrunner, on behalf of a syndicate of </w:t>
            </w:r>
            <w:r w:rsidR="00BD57D0">
              <w:t>agents</w:t>
            </w:r>
            <w:r w:rsidR="00C4077F">
              <w:t xml:space="preserve"> that </w:t>
            </w:r>
            <w:r w:rsidR="004B4A02">
              <w:t>includ</w:t>
            </w:r>
            <w:r w:rsidR="00C4077F">
              <w:t>es</w:t>
            </w:r>
            <w:r w:rsidR="004B4A02">
              <w:t xml:space="preserve"> Zeus Capital Ltd.</w:t>
            </w:r>
            <w:r w:rsidR="007279A3">
              <w:t xml:space="preserve"> </w:t>
            </w:r>
            <w:r w:rsidR="00A31873" w:rsidRPr="00A31873">
              <w:t xml:space="preserve">(together with the Lead </w:t>
            </w:r>
            <w:r w:rsidR="00BD57D0">
              <w:t>Agent</w:t>
            </w:r>
            <w:r w:rsidR="00A31873" w:rsidRPr="00A31873">
              <w:t>, the "</w:t>
            </w:r>
            <w:r w:rsidR="00BD57D0">
              <w:rPr>
                <w:b/>
                <w:bCs/>
              </w:rPr>
              <w:t>Agents</w:t>
            </w:r>
            <w:r w:rsidR="00A31873" w:rsidRPr="00A31873">
              <w:t xml:space="preserve">"). It is expected that the Engagement Letter will subsequently be replaced by a formal </w:t>
            </w:r>
            <w:r w:rsidR="00BD57D0">
              <w:t>agency</w:t>
            </w:r>
            <w:r w:rsidR="00A31873" w:rsidRPr="00A31873">
              <w:t xml:space="preserve"> agreement</w:t>
            </w:r>
            <w:r>
              <w:t xml:space="preserve">. </w:t>
            </w:r>
          </w:p>
          <w:p w14:paraId="7795F74B" w14:textId="0670920A" w:rsidR="00B8741E" w:rsidRDefault="00B8741E" w:rsidP="00192C1B">
            <w:pPr>
              <w:pStyle w:val="TableText"/>
              <w:jc w:val="both"/>
            </w:pPr>
            <w:r>
              <w:t>It is anticipated that up to 20% of the Offering will be placed outside of Canada in reliance upon available exemptions from the prospectus and registration requirements of applicable securities laws.</w:t>
            </w:r>
          </w:p>
          <w:p w14:paraId="6DF66858" w14:textId="05EAEE2E" w:rsidR="00472735" w:rsidRDefault="00472735" w:rsidP="00192C1B">
            <w:pPr>
              <w:pStyle w:val="TableText"/>
              <w:jc w:val="both"/>
            </w:pPr>
            <w:r>
              <w:t>The Offering is not subject to any minimum amount being raised.  However, t</w:t>
            </w:r>
            <w:r w:rsidRPr="002151AA">
              <w:t>he issuer will not close this offering unless the issuer reasonably believes it has raised sufficient funds to meet its business objectives and liquidity requirements for a period of 12 months following the distribution.</w:t>
            </w:r>
          </w:p>
          <w:p w14:paraId="210DED75" w14:textId="5BC1CAAF" w:rsidR="00472735" w:rsidRPr="00FF2D13" w:rsidRDefault="00472735" w:rsidP="00192C1B">
            <w:pPr>
              <w:pStyle w:val="TableText"/>
              <w:jc w:val="both"/>
              <w:rPr>
                <w:b/>
                <w:bCs/>
              </w:rPr>
            </w:pPr>
            <w:r w:rsidRPr="00FC6419">
              <w:t xml:space="preserve">Financial information in this </w:t>
            </w:r>
            <w:r w:rsidR="00D07790">
              <w:t>O</w:t>
            </w:r>
            <w:r w:rsidRPr="00FC6419">
              <w:t xml:space="preserve">ffering </w:t>
            </w:r>
            <w:r w:rsidR="00D07790">
              <w:t>D</w:t>
            </w:r>
            <w:r w:rsidRPr="00FC6419">
              <w:t>ocument including trading prices is, unless otherwise indicated, presented in Canadian dollars.</w:t>
            </w:r>
          </w:p>
        </w:tc>
      </w:tr>
      <w:tr w:rsidR="00472735" w14:paraId="433D50DA" w14:textId="77777777" w:rsidTr="00192C1B">
        <w:tc>
          <w:tcPr>
            <w:tcW w:w="1885" w:type="dxa"/>
            <w:shd w:val="clear" w:color="auto" w:fill="D9D9D9" w:themeFill="background1" w:themeFillShade="D9"/>
          </w:tcPr>
          <w:p w14:paraId="0583BD0F" w14:textId="77777777" w:rsidR="00472735" w:rsidRDefault="00472735" w:rsidP="00192C1B">
            <w:pPr>
              <w:pStyle w:val="TableText"/>
              <w:rPr>
                <w:b/>
                <w:bCs/>
              </w:rPr>
            </w:pPr>
            <w:r>
              <w:rPr>
                <w:b/>
                <w:bCs/>
              </w:rPr>
              <w:t>Closing Date:</w:t>
            </w:r>
          </w:p>
        </w:tc>
        <w:tc>
          <w:tcPr>
            <w:tcW w:w="7465" w:type="dxa"/>
          </w:tcPr>
          <w:p w14:paraId="29F8A777" w14:textId="5224E679" w:rsidR="00472735" w:rsidRDefault="00472735" w:rsidP="00192C1B">
            <w:pPr>
              <w:pStyle w:val="TableText"/>
              <w:jc w:val="both"/>
            </w:pPr>
            <w:r>
              <w:t xml:space="preserve">On or </w:t>
            </w:r>
            <w:r w:rsidRPr="00D3534B">
              <w:t>about</w:t>
            </w:r>
            <w:r w:rsidR="009D2673">
              <w:t xml:space="preserve"> the week of February 16, 2026,</w:t>
            </w:r>
            <w:r w:rsidRPr="00D3534B">
              <w:t xml:space="preserve"> or</w:t>
            </w:r>
            <w:r>
              <w:t xml:space="preserve"> on such other date or dates as the Company</w:t>
            </w:r>
            <w:r w:rsidR="00A31873">
              <w:t xml:space="preserve"> and the Lead </w:t>
            </w:r>
            <w:r w:rsidR="00BD57D0">
              <w:t>Agent</w:t>
            </w:r>
            <w:r>
              <w:t xml:space="preserve"> may determine (the </w:t>
            </w:r>
            <w:r w:rsidR="00792081" w:rsidRPr="00792081">
              <w:t>"</w:t>
            </w:r>
            <w:r>
              <w:rPr>
                <w:b/>
                <w:bCs/>
              </w:rPr>
              <w:t>Closing</w:t>
            </w:r>
            <w:r>
              <w:t xml:space="preserve"> </w:t>
            </w:r>
            <w:r>
              <w:rPr>
                <w:b/>
                <w:bCs/>
              </w:rPr>
              <w:t>Date</w:t>
            </w:r>
            <w:r w:rsidR="00792081" w:rsidRPr="00792081">
              <w:t>"</w:t>
            </w:r>
            <w:r>
              <w:t>).</w:t>
            </w:r>
          </w:p>
        </w:tc>
      </w:tr>
      <w:tr w:rsidR="00472735" w14:paraId="13E98504" w14:textId="77777777" w:rsidTr="00192C1B">
        <w:tc>
          <w:tcPr>
            <w:tcW w:w="1885" w:type="dxa"/>
            <w:shd w:val="clear" w:color="auto" w:fill="D9D9D9" w:themeFill="background1" w:themeFillShade="D9"/>
          </w:tcPr>
          <w:p w14:paraId="2253A61F" w14:textId="77777777" w:rsidR="00472735" w:rsidRDefault="00472735" w:rsidP="00192C1B">
            <w:pPr>
              <w:pStyle w:val="TableText"/>
              <w:keepNext/>
              <w:rPr>
                <w:b/>
                <w:bCs/>
              </w:rPr>
            </w:pPr>
            <w:r>
              <w:rPr>
                <w:b/>
                <w:bCs/>
              </w:rPr>
              <w:t>Exchange:</w:t>
            </w:r>
          </w:p>
        </w:tc>
        <w:tc>
          <w:tcPr>
            <w:tcW w:w="7465" w:type="dxa"/>
          </w:tcPr>
          <w:p w14:paraId="7E18AE74" w14:textId="59EC0709" w:rsidR="00472735" w:rsidRDefault="00472735" w:rsidP="00192C1B">
            <w:pPr>
              <w:pStyle w:val="TableText"/>
              <w:keepNext/>
              <w:jc w:val="both"/>
            </w:pPr>
            <w:r w:rsidRPr="001D6BED">
              <w:t xml:space="preserve">The Common Shares are listed for trading on the TSX Venture Exchange (the </w:t>
            </w:r>
            <w:r w:rsidR="00792081" w:rsidRPr="00792081">
              <w:t>"</w:t>
            </w:r>
            <w:r w:rsidRPr="001D6BED">
              <w:rPr>
                <w:b/>
                <w:bCs/>
              </w:rPr>
              <w:t>TSXV</w:t>
            </w:r>
            <w:r w:rsidR="00792081" w:rsidRPr="00792081">
              <w:t>"</w:t>
            </w:r>
            <w:r w:rsidRPr="001D6BED">
              <w:t xml:space="preserve">) </w:t>
            </w:r>
            <w:r w:rsidR="00BD57D0">
              <w:t xml:space="preserve">under the trading symbol </w:t>
            </w:r>
            <w:r w:rsidR="00792081" w:rsidRPr="00792081">
              <w:t>"</w:t>
            </w:r>
            <w:r w:rsidR="00BD57D0">
              <w:rPr>
                <w:b/>
                <w:bCs/>
              </w:rPr>
              <w:t>TAO</w:t>
            </w:r>
            <w:r w:rsidR="00792081" w:rsidRPr="00792081">
              <w:t>"</w:t>
            </w:r>
            <w:r w:rsidR="00BD57D0">
              <w:rPr>
                <w:b/>
                <w:bCs/>
              </w:rPr>
              <w:t xml:space="preserve"> </w:t>
            </w:r>
            <w:r w:rsidRPr="001D6BED">
              <w:t xml:space="preserve">and </w:t>
            </w:r>
            <w:r w:rsidR="00BD57D0" w:rsidRPr="00BD57D0">
              <w:t>on the OTCQB Venture Market (</w:t>
            </w:r>
            <w:r w:rsidR="00792081" w:rsidRPr="00792081">
              <w:t>"</w:t>
            </w:r>
            <w:r w:rsidR="00BD57D0" w:rsidRPr="00BD57D0">
              <w:rPr>
                <w:b/>
                <w:bCs/>
              </w:rPr>
              <w:t>OTCQB</w:t>
            </w:r>
            <w:r w:rsidR="00792081" w:rsidRPr="00792081">
              <w:t>"</w:t>
            </w:r>
            <w:r w:rsidR="00BD57D0" w:rsidRPr="00BD57D0">
              <w:t xml:space="preserve">) under the trading symbol </w:t>
            </w:r>
            <w:r w:rsidR="00792081" w:rsidRPr="00792081">
              <w:t>"</w:t>
            </w:r>
            <w:r w:rsidR="00BD57D0" w:rsidRPr="00BD57D0">
              <w:rPr>
                <w:b/>
                <w:bCs/>
              </w:rPr>
              <w:t>TAOIF</w:t>
            </w:r>
            <w:r w:rsidR="00792081" w:rsidRPr="00792081">
              <w:t>"</w:t>
            </w:r>
            <w:r>
              <w:t>.</w:t>
            </w:r>
          </w:p>
        </w:tc>
      </w:tr>
      <w:tr w:rsidR="00472735" w14:paraId="04A78AE7" w14:textId="77777777" w:rsidTr="00192C1B">
        <w:tc>
          <w:tcPr>
            <w:tcW w:w="1885" w:type="dxa"/>
            <w:shd w:val="clear" w:color="auto" w:fill="D9D9D9" w:themeFill="background1" w:themeFillShade="D9"/>
          </w:tcPr>
          <w:p w14:paraId="00A09B16" w14:textId="77777777" w:rsidR="00472735" w:rsidRDefault="00472735" w:rsidP="00192C1B">
            <w:pPr>
              <w:pStyle w:val="TableText"/>
              <w:rPr>
                <w:b/>
                <w:bCs/>
                <w:highlight w:val="yellow"/>
              </w:rPr>
            </w:pPr>
            <w:r>
              <w:rPr>
                <w:b/>
                <w:bCs/>
              </w:rPr>
              <w:t>Last Closing Price:</w:t>
            </w:r>
          </w:p>
        </w:tc>
        <w:tc>
          <w:tcPr>
            <w:tcW w:w="7465" w:type="dxa"/>
          </w:tcPr>
          <w:p w14:paraId="2C6A4A0C" w14:textId="4396A5E6" w:rsidR="00472735" w:rsidRDefault="00472735" w:rsidP="00192C1B">
            <w:pPr>
              <w:pStyle w:val="TableText"/>
              <w:jc w:val="both"/>
              <w:rPr>
                <w:highlight w:val="yellow"/>
              </w:rPr>
            </w:pPr>
            <w:r w:rsidRPr="002132EE">
              <w:t xml:space="preserve">On </w:t>
            </w:r>
            <w:r w:rsidR="000C2880">
              <w:t>February 2</w:t>
            </w:r>
            <w:r w:rsidR="007D4F50">
              <w:t>, 2026,</w:t>
            </w:r>
            <w:r w:rsidRPr="002132EE">
              <w:t xml:space="preserve"> the last trading day of the Common Shares prior to the date of this </w:t>
            </w:r>
            <w:r w:rsidR="00D07790">
              <w:t>O</w:t>
            </w:r>
            <w:r w:rsidRPr="002132EE">
              <w:t xml:space="preserve">ffering </w:t>
            </w:r>
            <w:r w:rsidR="00D07790">
              <w:t>D</w:t>
            </w:r>
            <w:r w:rsidRPr="002132EE">
              <w:t xml:space="preserve">ocument, the closing price of the Common Shares on the TSXV and the </w:t>
            </w:r>
            <w:r w:rsidR="00BD57D0">
              <w:t>OTCQB</w:t>
            </w:r>
            <w:r w:rsidRPr="002132EE">
              <w:t xml:space="preserve"> </w:t>
            </w:r>
            <w:r w:rsidRPr="00FB27B0">
              <w:t>was</w:t>
            </w:r>
            <w:r w:rsidRPr="00FB27B0">
              <w:rPr>
                <w:b/>
                <w:bCs/>
              </w:rPr>
              <w:t xml:space="preserve"> </w:t>
            </w:r>
            <w:r w:rsidR="00EB48BF" w:rsidRPr="00EB48BF">
              <w:t>$0.1</w:t>
            </w:r>
            <w:r w:rsidR="000C2880">
              <w:t>2</w:t>
            </w:r>
            <w:r w:rsidRPr="007D4F50">
              <w:rPr>
                <w:b/>
                <w:bCs/>
              </w:rPr>
              <w:t xml:space="preserve"> </w:t>
            </w:r>
            <w:r w:rsidRPr="007D4F50">
              <w:t xml:space="preserve">and </w:t>
            </w:r>
            <w:r w:rsidR="00B81B07">
              <w:t>USD</w:t>
            </w:r>
            <w:r w:rsidR="00EB48BF">
              <w:t>$0.</w:t>
            </w:r>
            <w:r w:rsidR="00962C01">
              <w:t>0</w:t>
            </w:r>
            <w:r w:rsidR="00EB48BF">
              <w:t>9</w:t>
            </w:r>
            <w:r w:rsidR="000C2880">
              <w:t>2</w:t>
            </w:r>
            <w:r w:rsidR="00EB48BF">
              <w:t>,</w:t>
            </w:r>
            <w:r w:rsidRPr="002132EE">
              <w:t xml:space="preserve"> respectively</w:t>
            </w:r>
            <w:r w:rsidRPr="001D6BED">
              <w:t>.</w:t>
            </w:r>
          </w:p>
        </w:tc>
      </w:tr>
      <w:tr w:rsidR="00666872" w14:paraId="17635331" w14:textId="77777777" w:rsidTr="00192C1B">
        <w:tc>
          <w:tcPr>
            <w:tcW w:w="1885" w:type="dxa"/>
            <w:shd w:val="clear" w:color="auto" w:fill="D9D9D9" w:themeFill="background1" w:themeFillShade="D9"/>
          </w:tcPr>
          <w:p w14:paraId="78FCE9D0" w14:textId="0F2350FC" w:rsidR="00666872" w:rsidRDefault="00666872" w:rsidP="00192C1B">
            <w:pPr>
              <w:pStyle w:val="TableText"/>
              <w:rPr>
                <w:b/>
                <w:bCs/>
              </w:rPr>
            </w:pPr>
            <w:r>
              <w:rPr>
                <w:b/>
                <w:bCs/>
              </w:rPr>
              <w:t>Concurrent Offering:</w:t>
            </w:r>
          </w:p>
        </w:tc>
        <w:tc>
          <w:tcPr>
            <w:tcW w:w="7465" w:type="dxa"/>
          </w:tcPr>
          <w:p w14:paraId="45B5B8AC" w14:textId="729DB9CC" w:rsidR="000C2880" w:rsidRDefault="000C2880" w:rsidP="00666872">
            <w:pPr>
              <w:pStyle w:val="TableText"/>
              <w:jc w:val="both"/>
            </w:pPr>
            <w:r>
              <w:t xml:space="preserve">In addition to the Offering, the Agents have agreed to place an additional 43,600,000 Placement Units </w:t>
            </w:r>
            <w:r w:rsidR="00E55503">
              <w:t>o</w:t>
            </w:r>
            <w:r>
              <w:t xml:space="preserve">n a “best efforts” basis </w:t>
            </w:r>
            <w:r w:rsidRPr="00A31873">
              <w:t>pursuant to</w:t>
            </w:r>
            <w:r w:rsidR="00E55503">
              <w:t xml:space="preserve"> the Engagement Letter</w:t>
            </w:r>
            <w:r w:rsidRPr="00A31873">
              <w:t xml:space="preserve"> (the "</w:t>
            </w:r>
            <w:r w:rsidR="00E55503">
              <w:rPr>
                <w:b/>
                <w:bCs/>
              </w:rPr>
              <w:t>Concurrent Offering</w:t>
            </w:r>
            <w:r w:rsidRPr="00A31873">
              <w:t>")</w:t>
            </w:r>
            <w:r w:rsidR="00E55503">
              <w:t xml:space="preserve"> </w:t>
            </w:r>
            <w:r w:rsidR="00E55503" w:rsidRPr="00E55503">
              <w:t>for gross proceeds of up to $</w:t>
            </w:r>
            <w:r w:rsidR="00E55503">
              <w:t>4</w:t>
            </w:r>
            <w:r w:rsidR="00E55503" w:rsidRPr="00E55503">
              <w:t>,</w:t>
            </w:r>
            <w:r w:rsidR="00E55503">
              <w:t>360</w:t>
            </w:r>
            <w:r w:rsidR="00E55503" w:rsidRPr="00E55503">
              <w:t>,000</w:t>
            </w:r>
            <w:r w:rsidR="00E55503">
              <w:t>.  If the Offering and the Concurrent Offering are fully subscribed for 100,000,000 Placement Units, total gross proceeds would be $10,000,000</w:t>
            </w:r>
            <w:r w:rsidR="000124F5">
              <w:t xml:space="preserve"> (the </w:t>
            </w:r>
            <w:r w:rsidR="002476C8" w:rsidRPr="002476C8">
              <w:t>"</w:t>
            </w:r>
            <w:r w:rsidR="000124F5" w:rsidRPr="000124F5">
              <w:rPr>
                <w:b/>
                <w:bCs/>
              </w:rPr>
              <w:t>Total Offering</w:t>
            </w:r>
            <w:r w:rsidR="00792081" w:rsidRPr="00792081">
              <w:t>"</w:t>
            </w:r>
            <w:r w:rsidR="000124F5">
              <w:t>)</w:t>
            </w:r>
            <w:r w:rsidR="00E55503">
              <w:t>.</w:t>
            </w:r>
          </w:p>
          <w:p w14:paraId="19A2D8C9" w14:textId="613774D8" w:rsidR="00666872" w:rsidRPr="002132EE" w:rsidRDefault="00666872" w:rsidP="000124F5">
            <w:pPr>
              <w:pStyle w:val="TableText"/>
              <w:jc w:val="both"/>
            </w:pPr>
            <w:r w:rsidRPr="00A31873">
              <w:t xml:space="preserve">The </w:t>
            </w:r>
            <w:r>
              <w:t>Agents</w:t>
            </w:r>
            <w:r w:rsidRPr="00A31873">
              <w:t xml:space="preserve"> have also been granted an option (the </w:t>
            </w:r>
            <w:bookmarkStart w:id="1" w:name="_Hlk221023565"/>
            <w:r w:rsidRPr="00A31873">
              <w:t>"</w:t>
            </w:r>
            <w:bookmarkEnd w:id="1"/>
            <w:r>
              <w:rPr>
                <w:b/>
                <w:bCs/>
              </w:rPr>
              <w:t>Agents’</w:t>
            </w:r>
            <w:r w:rsidRPr="00A31873">
              <w:rPr>
                <w:b/>
                <w:bCs/>
              </w:rPr>
              <w:t xml:space="preserve"> Option</w:t>
            </w:r>
            <w:r w:rsidRPr="00A31873">
              <w:t xml:space="preserve">"), exercisable, in whole or in part, by the Lead </w:t>
            </w:r>
            <w:r>
              <w:t>Agent</w:t>
            </w:r>
            <w:r w:rsidRPr="00A31873">
              <w:t xml:space="preserve"> on behalf of the </w:t>
            </w:r>
            <w:r>
              <w:t>Agents</w:t>
            </w:r>
            <w:r w:rsidRPr="00A31873">
              <w:t xml:space="preserve"> giving notice to the Corporation at any time up to 48 hours prior to the Closing Date (as defined below) to purchase up to an additional </w:t>
            </w:r>
            <w:r w:rsidR="00E55503">
              <w:t>15</w:t>
            </w:r>
            <w:r>
              <w:t>,</w:t>
            </w:r>
            <w:r w:rsidR="00E55503">
              <w:t>0</w:t>
            </w:r>
            <w:r>
              <w:t>00,000</w:t>
            </w:r>
            <w:r w:rsidRPr="00A31873">
              <w:t xml:space="preserve"> </w:t>
            </w:r>
            <w:r>
              <w:t>Placement Units, representing an increase in the</w:t>
            </w:r>
            <w:r w:rsidR="00E55503">
              <w:t xml:space="preserve"> combined</w:t>
            </w:r>
            <w:r>
              <w:t xml:space="preserve"> Offering</w:t>
            </w:r>
            <w:r w:rsidR="00E55503">
              <w:t xml:space="preserve"> and Concurrent Offering</w:t>
            </w:r>
            <w:r>
              <w:t xml:space="preserve"> of 15%,</w:t>
            </w:r>
            <w:r w:rsidRPr="00A31873">
              <w:t xml:space="preserve"> at </w:t>
            </w:r>
            <w:r>
              <w:t>$0.10</w:t>
            </w:r>
            <w:r w:rsidRPr="00A31873">
              <w:t xml:space="preserve"> per </w:t>
            </w:r>
            <w:r>
              <w:t>Placement Unit</w:t>
            </w:r>
            <w:r w:rsidRPr="00A31873">
              <w:t xml:space="preserve"> for additional gross proceeds of up to $</w:t>
            </w:r>
            <w:r w:rsidR="00E55503">
              <w:t>1,50</w:t>
            </w:r>
            <w:r>
              <w:t>0,000</w:t>
            </w:r>
            <w:r w:rsidRPr="00A31873">
              <w:t>.</w:t>
            </w:r>
            <w:r w:rsidR="000124F5">
              <w:t xml:space="preserve"> </w:t>
            </w:r>
            <w:r w:rsidRPr="00A31873">
              <w:t xml:space="preserve"> If the </w:t>
            </w:r>
            <w:r>
              <w:t>Agents’</w:t>
            </w:r>
            <w:r w:rsidRPr="00A31873">
              <w:t xml:space="preserve"> Option is exercised in full</w:t>
            </w:r>
            <w:r w:rsidR="000124F5">
              <w:t xml:space="preserve"> after completion of the Total Offering,</w:t>
            </w:r>
            <w:r w:rsidRPr="00A31873">
              <w:t xml:space="preserve"> the Corporation would sell an aggregate of </w:t>
            </w:r>
            <w:r w:rsidR="00E55503">
              <w:t>115</w:t>
            </w:r>
            <w:r>
              <w:t>,</w:t>
            </w:r>
            <w:r w:rsidR="00E55503">
              <w:t>0</w:t>
            </w:r>
            <w:r>
              <w:t>00,000</w:t>
            </w:r>
            <w:r w:rsidRPr="00FB27B0">
              <w:rPr>
                <w:b/>
                <w:bCs/>
              </w:rPr>
              <w:t xml:space="preserve"> </w:t>
            </w:r>
            <w:r>
              <w:t>Placement Units</w:t>
            </w:r>
            <w:r w:rsidRPr="00A31873">
              <w:t xml:space="preserve"> for gross proceeds of $</w:t>
            </w:r>
            <w:r w:rsidR="00E55503">
              <w:t>11</w:t>
            </w:r>
            <w:r>
              <w:t>,</w:t>
            </w:r>
            <w:r w:rsidR="00E55503">
              <w:t>50</w:t>
            </w:r>
            <w:r>
              <w:t>0,000</w:t>
            </w:r>
            <w:r w:rsidR="000124F5">
              <w:t xml:space="preserve"> </w:t>
            </w:r>
            <w:r w:rsidR="00792081">
              <w:t>(</w:t>
            </w:r>
            <w:r w:rsidR="000124F5">
              <w:t xml:space="preserve">the </w:t>
            </w:r>
            <w:r w:rsidR="00081A64" w:rsidRPr="00081A64">
              <w:t>"</w:t>
            </w:r>
            <w:r w:rsidR="00081A64" w:rsidRPr="00081A64">
              <w:rPr>
                <w:b/>
                <w:bCs/>
              </w:rPr>
              <w:t>Maximum</w:t>
            </w:r>
            <w:r w:rsidR="000124F5" w:rsidRPr="00081A64">
              <w:rPr>
                <w:b/>
                <w:bCs/>
              </w:rPr>
              <w:t xml:space="preserve"> Offering</w:t>
            </w:r>
            <w:r w:rsidR="00081A64" w:rsidRPr="00081A64">
              <w:t>"</w:t>
            </w:r>
            <w:r w:rsidR="00081A64">
              <w:t>).</w:t>
            </w:r>
          </w:p>
        </w:tc>
      </w:tr>
    </w:tbl>
    <w:p w14:paraId="2A88650C" w14:textId="77777777" w:rsidR="00472735" w:rsidRDefault="00472735" w:rsidP="00472735"/>
    <w:p w14:paraId="4D994421" w14:textId="77777777" w:rsidR="00472735" w:rsidRDefault="00472735" w:rsidP="00472735">
      <w:pPr>
        <w:pStyle w:val="TextJustified"/>
        <w:rPr>
          <w:b/>
          <w:bCs/>
          <w:i/>
          <w:iCs/>
        </w:rPr>
      </w:pPr>
      <w:r>
        <w:rPr>
          <w:b/>
          <w:bCs/>
          <w:i/>
          <w:iCs/>
        </w:rPr>
        <w:t>No securities regulatory authority or regulator has assessed the merits of these securities or reviewed this document. Any representation to the contrary is an offence. This offering may not be suitable for you and you should only invest in it if you are willing to risk the loss of your entire investment. In making this investment decision, you should seek the advice of a registered dealer.</w:t>
      </w:r>
    </w:p>
    <w:p w14:paraId="0BD7821E" w14:textId="7B54756A" w:rsidR="00472735" w:rsidRDefault="00EF30B0" w:rsidP="00472735">
      <w:pPr>
        <w:pStyle w:val="TextJustified"/>
        <w:rPr>
          <w:b/>
          <w:bCs/>
        </w:rPr>
      </w:pPr>
      <w:r>
        <w:rPr>
          <w:b/>
          <w:bCs/>
        </w:rPr>
        <w:lastRenderedPageBreak/>
        <w:t>TAG</w:t>
      </w:r>
      <w:r w:rsidR="00472735">
        <w:rPr>
          <w:b/>
          <w:bCs/>
        </w:rPr>
        <w:t xml:space="preserve"> is conducting a listed issuer financing under section 5A.2 of National Instrument 45-106 – </w:t>
      </w:r>
      <w:r w:rsidR="00472735">
        <w:rPr>
          <w:b/>
          <w:bCs/>
          <w:i/>
          <w:iCs/>
        </w:rPr>
        <w:t>Prospectus Exemptions</w:t>
      </w:r>
      <w:r w:rsidR="00472735">
        <w:rPr>
          <w:b/>
          <w:bCs/>
        </w:rPr>
        <w:t>. In connection with this offering, the issuer represents the following is true:</w:t>
      </w:r>
    </w:p>
    <w:p w14:paraId="65A765B4" w14:textId="77777777" w:rsidR="00472735" w:rsidRDefault="00472735" w:rsidP="00472735">
      <w:pPr>
        <w:pStyle w:val="Bullet1"/>
        <w:jc w:val="both"/>
        <w:rPr>
          <w:b/>
          <w:bCs/>
        </w:rPr>
      </w:pPr>
      <w:r>
        <w:rPr>
          <w:b/>
          <w:bCs/>
        </w:rPr>
        <w:t>The issuer has active operations and its principal asset is not cash, cash equivalents or its exchange listing.</w:t>
      </w:r>
    </w:p>
    <w:p w14:paraId="61F59C0E" w14:textId="77777777" w:rsidR="00472735" w:rsidRDefault="00472735" w:rsidP="00472735">
      <w:pPr>
        <w:pStyle w:val="Bullet1"/>
        <w:jc w:val="both"/>
        <w:rPr>
          <w:b/>
          <w:bCs/>
        </w:rPr>
      </w:pPr>
      <w:r>
        <w:rPr>
          <w:b/>
          <w:bCs/>
        </w:rPr>
        <w:t>The issuer has filed all periodic and timely disclosure documents that it is required to have filed.</w:t>
      </w:r>
    </w:p>
    <w:p w14:paraId="2670B3FB" w14:textId="38D78F62" w:rsidR="00472735" w:rsidRPr="00890ECD" w:rsidRDefault="00EF30B0" w:rsidP="00472735">
      <w:pPr>
        <w:pStyle w:val="Bullet1"/>
        <w:jc w:val="both"/>
        <w:rPr>
          <w:b/>
          <w:bCs/>
        </w:rPr>
      </w:pPr>
      <w:r>
        <w:rPr>
          <w:b/>
          <w:bCs/>
        </w:rPr>
        <w:t>TAG</w:t>
      </w:r>
      <w:r w:rsidR="00472735" w:rsidRPr="00890ECD">
        <w:rPr>
          <w:b/>
          <w:bCs/>
        </w:rPr>
        <w:t xml:space="preserve"> is relying on the exemptions in Coordinated Blanket Order 45-935 </w:t>
      </w:r>
      <w:r w:rsidR="00472735" w:rsidRPr="00F87A3A">
        <w:rPr>
          <w:b/>
          <w:bCs/>
          <w:i/>
          <w:iCs/>
        </w:rPr>
        <w:t>Exemptions from Certain Conditions of the Listed Issuer Financing Exemption</w:t>
      </w:r>
      <w:r w:rsidR="00472735" w:rsidRPr="00890ECD">
        <w:rPr>
          <w:b/>
          <w:bCs/>
        </w:rPr>
        <w:t xml:space="preserve"> (the </w:t>
      </w:r>
      <w:r w:rsidR="00472735">
        <w:rPr>
          <w:b/>
          <w:bCs/>
        </w:rPr>
        <w:t>“</w:t>
      </w:r>
      <w:r w:rsidR="00472735" w:rsidRPr="00890ECD">
        <w:rPr>
          <w:b/>
          <w:bCs/>
        </w:rPr>
        <w:t>Order</w:t>
      </w:r>
      <w:r w:rsidR="00472735">
        <w:rPr>
          <w:b/>
          <w:bCs/>
        </w:rPr>
        <w:t>”</w:t>
      </w:r>
      <w:r w:rsidR="00472735" w:rsidRPr="00890ECD">
        <w:rPr>
          <w:b/>
          <w:bCs/>
        </w:rPr>
        <w:t>) and is qualified to distribute securities in reliance on the exemptions included in the Order.</w:t>
      </w:r>
    </w:p>
    <w:p w14:paraId="4CB5776E" w14:textId="4D955C0F" w:rsidR="00472735" w:rsidRPr="00890ECD" w:rsidRDefault="00472735" w:rsidP="00472735">
      <w:pPr>
        <w:pStyle w:val="Bullet1"/>
        <w:jc w:val="both"/>
        <w:rPr>
          <w:b/>
          <w:bCs/>
        </w:rPr>
      </w:pPr>
      <w:r w:rsidRPr="00890ECD">
        <w:rPr>
          <w:b/>
          <w:bCs/>
        </w:rPr>
        <w:t>The total dollar amount of this offering, in combination with the dollar amount of all other offerings made under the listed issuer financing exemption and under the Order in the 12 months immediately preceding the date of the news release announcing this offering, will not exceed $25</w:t>
      </w:r>
      <w:r w:rsidR="00A45DCF">
        <w:rPr>
          <w:b/>
          <w:bCs/>
        </w:rPr>
        <w:t>,</w:t>
      </w:r>
      <w:r w:rsidRPr="00890ECD">
        <w:rPr>
          <w:b/>
          <w:bCs/>
        </w:rPr>
        <w:t>000</w:t>
      </w:r>
      <w:r w:rsidR="00A45DCF">
        <w:rPr>
          <w:b/>
          <w:bCs/>
        </w:rPr>
        <w:t>,</w:t>
      </w:r>
      <w:r w:rsidRPr="00890ECD">
        <w:rPr>
          <w:b/>
          <w:bCs/>
        </w:rPr>
        <w:t>000.</w:t>
      </w:r>
    </w:p>
    <w:p w14:paraId="68B3893B" w14:textId="77777777" w:rsidR="00472735" w:rsidRDefault="00472735" w:rsidP="00472735">
      <w:pPr>
        <w:pStyle w:val="Bullet1"/>
        <w:jc w:val="both"/>
        <w:rPr>
          <w:b/>
          <w:bCs/>
        </w:rPr>
      </w:pPr>
      <w:r>
        <w:rPr>
          <w:b/>
          <w:bCs/>
        </w:rPr>
        <w:t>The issuer will not close this offering unless the issuer reasonably believes it has raised sufficient funds to meet its business objectives and liquidity requirements for a period of 12 months following the distribution.</w:t>
      </w:r>
    </w:p>
    <w:p w14:paraId="381ADE99" w14:textId="77777777" w:rsidR="00472735" w:rsidRDefault="00472735" w:rsidP="00472735">
      <w:pPr>
        <w:pStyle w:val="Bullet1"/>
        <w:jc w:val="both"/>
        <w:rPr>
          <w:b/>
          <w:bCs/>
        </w:rPr>
      </w:pPr>
      <w:r>
        <w:rPr>
          <w:b/>
          <w:bCs/>
        </w:rPr>
        <w:t xml:space="preserve">The issuer will not allocate the available funds from this offering to an acquisition that is a significant acquisition or restructuring transaction under securities law or to any other transaction for which the issuer seeks security holder approval. </w:t>
      </w:r>
    </w:p>
    <w:p w14:paraId="24E3CFE0" w14:textId="77777777" w:rsidR="00472735" w:rsidRDefault="00472735" w:rsidP="00472735">
      <w:pPr>
        <w:pStyle w:val="Subtitle"/>
        <w:jc w:val="center"/>
      </w:pPr>
      <w:r>
        <w:t>CAUTIONARY STATEMENT REGARDING FORWARD-LOOKING INFORMATION</w:t>
      </w:r>
    </w:p>
    <w:p w14:paraId="52AA9320" w14:textId="3FF5B5BA" w:rsidR="00472735" w:rsidRPr="00417C27" w:rsidRDefault="00472735" w:rsidP="00472735">
      <w:pPr>
        <w:pStyle w:val="TextJustified"/>
      </w:pPr>
      <w:r w:rsidRPr="00417C27">
        <w:t xml:space="preserve">This </w:t>
      </w:r>
      <w:r w:rsidR="00645F81">
        <w:t>O</w:t>
      </w:r>
      <w:r>
        <w:t xml:space="preserve">ffering </w:t>
      </w:r>
      <w:r w:rsidR="00645F81">
        <w:t>D</w:t>
      </w:r>
      <w:r>
        <w:t>ocument</w:t>
      </w:r>
      <w:r w:rsidRPr="00417C27">
        <w:t xml:space="preserve"> contain</w:t>
      </w:r>
      <w:r>
        <w:t>s</w:t>
      </w:r>
      <w:r w:rsidRPr="00417C27">
        <w:t xml:space="preserve"> certain “forward-looking information” and “forward-looking statements” (collectively, </w:t>
      </w:r>
      <w:r w:rsidR="002476C8" w:rsidRPr="002476C8">
        <w:t>"</w:t>
      </w:r>
      <w:r w:rsidRPr="00417C27">
        <w:rPr>
          <w:b/>
          <w:bCs/>
        </w:rPr>
        <w:t>forward-looking statements</w:t>
      </w:r>
      <w:r w:rsidR="002476C8" w:rsidRPr="002476C8">
        <w:t>"</w:t>
      </w:r>
      <w:r w:rsidRPr="00417C27">
        <w:t>) which are based upon the Company’s current internal expectations, estimates, projections, assumptions and beliefs. Such statements can be identified by the use of forward-looking terminology such as “expect”, “believe”, “likely”, “may”, “will”, “should”, “intend”, “anticipate”, “potential”, “proposed”, “estimate”, “project”, “continue”, “plan”, “aim” and other similar words, including negative and grammatical variations thereof, or statements that certain events or conditions “may” or “will” happen, or by discussions of strategy. Forward-looking statements include estimates, plans, expectations, opinions, forecasts, projections, targets, guidance, or other statements that are not statements of fact. The Company has based these forward-looking statements on current expectations and projections about future events and financial trends that they believe may affect the Company’s financial condition, results of operations, business strategy and financial needs, as the case may be.</w:t>
      </w:r>
    </w:p>
    <w:p w14:paraId="74DB08CA" w14:textId="609D0521" w:rsidR="00472735" w:rsidRPr="00417C27" w:rsidRDefault="00472735" w:rsidP="00472735">
      <w:pPr>
        <w:pStyle w:val="TextJustified"/>
      </w:pPr>
      <w:r w:rsidRPr="00417C27">
        <w:t xml:space="preserve">Such forward-looking statements are made as of the date of this </w:t>
      </w:r>
      <w:r w:rsidR="00645F81">
        <w:t>O</w:t>
      </w:r>
      <w:r>
        <w:t xml:space="preserve">ffering </w:t>
      </w:r>
      <w:r w:rsidR="00645F81">
        <w:t>D</w:t>
      </w:r>
      <w:r>
        <w:t>ocument</w:t>
      </w:r>
      <w:r w:rsidRPr="00417C27">
        <w:t xml:space="preserve">. Forward-looking statements in this </w:t>
      </w:r>
      <w:r w:rsidR="00645F81">
        <w:t>O</w:t>
      </w:r>
      <w:r>
        <w:t xml:space="preserve">ffering </w:t>
      </w:r>
      <w:r w:rsidR="00645F81">
        <w:t>D</w:t>
      </w:r>
      <w:r>
        <w:t xml:space="preserve">ocument </w:t>
      </w:r>
      <w:r w:rsidRPr="00417C27">
        <w:t xml:space="preserve">include, but are not limited to, statements with respect to: </w:t>
      </w:r>
    </w:p>
    <w:p w14:paraId="11ED293E" w14:textId="77777777" w:rsidR="00472735" w:rsidRPr="00417C27" w:rsidRDefault="00472735" w:rsidP="00472735">
      <w:pPr>
        <w:pStyle w:val="Bullet1"/>
        <w:ind w:left="1440"/>
        <w:jc w:val="both"/>
      </w:pPr>
      <w:r w:rsidRPr="00417C27">
        <w:t>the completion of the Offering and the receipt of all regulatory and stock exchange approvals in connection therewith;</w:t>
      </w:r>
    </w:p>
    <w:p w14:paraId="5253ECBD" w14:textId="77777777" w:rsidR="00472735" w:rsidRPr="00417C27" w:rsidRDefault="00472735" w:rsidP="00472735">
      <w:pPr>
        <w:pStyle w:val="Bullet1"/>
        <w:ind w:left="1440"/>
        <w:jc w:val="both"/>
      </w:pPr>
      <w:r w:rsidRPr="00417C27">
        <w:t>the use of the net proceeds of the Offering;</w:t>
      </w:r>
    </w:p>
    <w:p w14:paraId="78ADF7DB" w14:textId="77777777" w:rsidR="00472735" w:rsidRPr="00417C27" w:rsidRDefault="00472735" w:rsidP="00472735">
      <w:pPr>
        <w:pStyle w:val="Bullet1"/>
        <w:ind w:left="1440"/>
        <w:jc w:val="both"/>
      </w:pPr>
      <w:r w:rsidRPr="00417C27">
        <w:t>the Company’s business objectives and milestones and the anticipated timing of execution;</w:t>
      </w:r>
    </w:p>
    <w:p w14:paraId="450A8DA9" w14:textId="77777777" w:rsidR="00472735" w:rsidRPr="00417C27" w:rsidRDefault="00472735" w:rsidP="00472735">
      <w:pPr>
        <w:pStyle w:val="Bullet1"/>
        <w:ind w:left="1440"/>
        <w:jc w:val="both"/>
      </w:pPr>
      <w:r w:rsidRPr="00417C27">
        <w:t>the performance of the Company’s business and operations;</w:t>
      </w:r>
    </w:p>
    <w:p w14:paraId="40E96509" w14:textId="77777777" w:rsidR="00472735" w:rsidRPr="00417C27" w:rsidRDefault="00472735" w:rsidP="00472735">
      <w:pPr>
        <w:pStyle w:val="Bullet1"/>
        <w:ind w:left="1440"/>
        <w:jc w:val="both"/>
      </w:pPr>
      <w:r w:rsidRPr="00417C27">
        <w:t>the intention to grow the business, operations and potential activities of the Company;</w:t>
      </w:r>
    </w:p>
    <w:p w14:paraId="54D5DF89" w14:textId="77777777" w:rsidR="00472735" w:rsidRPr="00417C27" w:rsidRDefault="00472735" w:rsidP="00472735">
      <w:pPr>
        <w:pStyle w:val="Bullet1"/>
        <w:ind w:left="1440"/>
        <w:jc w:val="both"/>
      </w:pPr>
      <w:r w:rsidRPr="00417C27">
        <w:lastRenderedPageBreak/>
        <w:t>the competitive and business strategies of the Company;</w:t>
      </w:r>
    </w:p>
    <w:p w14:paraId="2BED7FBC" w14:textId="77777777" w:rsidR="00472735" w:rsidRPr="00417C27" w:rsidRDefault="00472735" w:rsidP="00472735">
      <w:pPr>
        <w:pStyle w:val="Bullet1"/>
        <w:ind w:left="1440"/>
        <w:jc w:val="both"/>
      </w:pPr>
      <w:r w:rsidRPr="00417C27">
        <w:t>the Company’s anticipated operating cash requirements and future financing needs, including the sufficiency of existing financial resources to continue operations over the next 12 months;</w:t>
      </w:r>
    </w:p>
    <w:p w14:paraId="514A1787" w14:textId="77777777" w:rsidR="00472735" w:rsidRPr="00417C27" w:rsidRDefault="00472735" w:rsidP="00472735">
      <w:pPr>
        <w:pStyle w:val="Bullet1"/>
        <w:ind w:left="1440"/>
        <w:jc w:val="both"/>
      </w:pPr>
      <w:r w:rsidRPr="00417C27">
        <w:t>the anticipated future gross revenues and profit margins of the Company’s operations;</w:t>
      </w:r>
    </w:p>
    <w:p w14:paraId="227573C8" w14:textId="77777777" w:rsidR="00472735" w:rsidRPr="00417C27" w:rsidRDefault="00472735" w:rsidP="00472735">
      <w:pPr>
        <w:pStyle w:val="Bullet1"/>
        <w:ind w:left="1440"/>
        <w:jc w:val="both"/>
      </w:pPr>
      <w:r w:rsidRPr="00417C27">
        <w:t>the applicable laws, regulations and any amendments thereof;</w:t>
      </w:r>
    </w:p>
    <w:p w14:paraId="0EE77C0D" w14:textId="77777777" w:rsidR="00472735" w:rsidRPr="00417C27" w:rsidRDefault="00472735" w:rsidP="00472735">
      <w:pPr>
        <w:pStyle w:val="Bullet1"/>
        <w:ind w:left="1440"/>
        <w:jc w:val="both"/>
      </w:pPr>
      <w:r w:rsidRPr="00417C27">
        <w:t>ability to attract new customers and develop and maintain existing customers;</w:t>
      </w:r>
    </w:p>
    <w:p w14:paraId="618EC1A2" w14:textId="77777777" w:rsidR="00472735" w:rsidRPr="00417C27" w:rsidRDefault="00472735" w:rsidP="00472735">
      <w:pPr>
        <w:pStyle w:val="Bullet1"/>
        <w:ind w:left="1440"/>
        <w:jc w:val="both"/>
      </w:pPr>
      <w:r w:rsidRPr="00417C27">
        <w:t>the ability to protect, maintain and enforce the Company’s intellectual property rights;</w:t>
      </w:r>
    </w:p>
    <w:p w14:paraId="3CA7458F" w14:textId="77777777" w:rsidR="00472735" w:rsidRPr="00417C27" w:rsidRDefault="00472735" w:rsidP="00472735">
      <w:pPr>
        <w:pStyle w:val="Bullet1"/>
        <w:ind w:left="1440"/>
        <w:jc w:val="both"/>
      </w:pPr>
      <w:r w:rsidRPr="00417C27">
        <w:t>the ability to attract and retain personnel, including the Company’s expectation that its current organizational structure will be sufficient to support continued growth of the Company over the next 12 months; and</w:t>
      </w:r>
    </w:p>
    <w:p w14:paraId="78245364" w14:textId="77777777" w:rsidR="00472735" w:rsidRPr="00417C27" w:rsidRDefault="00472735" w:rsidP="00472735">
      <w:pPr>
        <w:pStyle w:val="Bullet1"/>
        <w:spacing w:after="240"/>
        <w:ind w:left="1440"/>
        <w:jc w:val="both"/>
      </w:pPr>
      <w:r w:rsidRPr="00417C27">
        <w:t>anticipated events, trends and challenges in the Company’s business and the markets and jurisdictions in which the Company operates.</w:t>
      </w:r>
    </w:p>
    <w:p w14:paraId="24A0185E" w14:textId="77777777" w:rsidR="00472735" w:rsidRPr="00417C27" w:rsidRDefault="00472735" w:rsidP="00472735">
      <w:pPr>
        <w:pStyle w:val="TextJustified"/>
      </w:pPr>
      <w:r w:rsidRPr="00417C27">
        <w:t xml:space="preserve">Certain of the forward-looking statements contained herein concerning the general expectations of the Company related thereto, and the Company’s business and operations are based on estimates prepared by the Company using data from publicly available governmental sources, as well as from market research and industry analysis and on assumptions based on data and knowledge of this industry which the Company believes to be reasonable. However, although generally indicative of relative market positions, market shares and performance characteristics, such data is inherently imprecise. </w:t>
      </w:r>
    </w:p>
    <w:p w14:paraId="2CD39D80" w14:textId="584CF464" w:rsidR="00472735" w:rsidRPr="00417C27" w:rsidRDefault="00472735" w:rsidP="00472735">
      <w:pPr>
        <w:pStyle w:val="TextJustified"/>
      </w:pPr>
      <w:r w:rsidRPr="00417C27">
        <w:t>Purchasers are cautioned that the above list of cautionary statements is not exhaustive. A number of known and unknown risks, uncertainties and other factors could cause actual events, performance or results to differ materially from what is projected in forward-looking statements. Should one or more of these risks and uncertainties materialize, or should underlying factors or assumptions prove incorrect, actual results may vary materially from those described in forward-looking statements. For a non-exhaustive list of risks and uncertainties relevant to the Company, please refer to the heading “</w:t>
      </w:r>
      <w:r w:rsidRPr="00417C27">
        <w:rPr>
          <w:i/>
          <w:iCs/>
        </w:rPr>
        <w:t>Risk Factors</w:t>
      </w:r>
      <w:r w:rsidRPr="00417C27">
        <w:t>” in the</w:t>
      </w:r>
      <w:r>
        <w:t xml:space="preserve"> Company’s Annual Information Form filed on </w:t>
      </w:r>
      <w:r w:rsidRPr="00F86E9D">
        <w:t xml:space="preserve">SEDAR+ at </w:t>
      </w:r>
      <w:hyperlink r:id="rId8" w:history="1">
        <w:r w:rsidRPr="00A71D6B">
          <w:rPr>
            <w:rStyle w:val="Hyperlink"/>
          </w:rPr>
          <w:t>www.sedarplus.ca</w:t>
        </w:r>
      </w:hyperlink>
      <w:r>
        <w:t xml:space="preserve"> </w:t>
      </w:r>
      <w:r w:rsidR="00BD57D0">
        <w:t>for the financial year ended December 31, 2023</w:t>
      </w:r>
      <w:r w:rsidRPr="002132EE">
        <w:t xml:space="preserve"> (the </w:t>
      </w:r>
      <w:r w:rsidR="002476C8" w:rsidRPr="002476C8">
        <w:t>"</w:t>
      </w:r>
      <w:r w:rsidRPr="002132EE">
        <w:rPr>
          <w:b/>
          <w:bCs/>
        </w:rPr>
        <w:t>AIF</w:t>
      </w:r>
      <w:r w:rsidR="002476C8" w:rsidRPr="002476C8">
        <w:t>"</w:t>
      </w:r>
      <w:r w:rsidRPr="002132EE">
        <w:t>).</w:t>
      </w:r>
    </w:p>
    <w:p w14:paraId="4D4DF8B0" w14:textId="3A204050" w:rsidR="00472735" w:rsidRPr="00417C27" w:rsidRDefault="00472735" w:rsidP="00472735">
      <w:pPr>
        <w:pStyle w:val="TextJustified"/>
      </w:pPr>
      <w:r w:rsidRPr="00417C27">
        <w:t xml:space="preserve">The purpose of forward-looking statements is to provide the reader with a description of management’s expectations, and such forward-looking statements may not be appropriate for any other purpose. You should not place undue reliance on forward-looking statements contained in this </w:t>
      </w:r>
      <w:r w:rsidR="00645F81">
        <w:t>O</w:t>
      </w:r>
      <w:r>
        <w:t xml:space="preserve">ffering </w:t>
      </w:r>
      <w:r w:rsidR="00645F81">
        <w:t>D</w:t>
      </w:r>
      <w:r>
        <w:t xml:space="preserve">ocument. </w:t>
      </w:r>
      <w:r w:rsidRPr="00417C27">
        <w:t>Although the Company believes that the expectations reflected in such forward-looking statements are reasonable, it can give no assurance that such expectations will prove to have been correct. We undertake no obligation to update or revise any forward-looking statements, whether as a result of new information, future events or otherwise, except as required by applicable law.</w:t>
      </w:r>
    </w:p>
    <w:p w14:paraId="434A52D3" w14:textId="1748B153" w:rsidR="00472735" w:rsidRDefault="00472735" w:rsidP="00472735">
      <w:pPr>
        <w:pStyle w:val="TextJustified"/>
      </w:pPr>
      <w:r w:rsidRPr="00417C27">
        <w:t xml:space="preserve">The forward-looking statements contained in this </w:t>
      </w:r>
      <w:r w:rsidR="00645F81">
        <w:t>O</w:t>
      </w:r>
      <w:r>
        <w:t xml:space="preserve">ffering </w:t>
      </w:r>
      <w:r w:rsidR="00645F81">
        <w:t>D</w:t>
      </w:r>
      <w:r>
        <w:t>ocument</w:t>
      </w:r>
      <w:r w:rsidRPr="00417C27">
        <w:t xml:space="preserve"> are expressly qualified in their entirety by the foregoing cautionary statement. Investors should read this entire </w:t>
      </w:r>
      <w:r w:rsidR="00645F81">
        <w:t>O</w:t>
      </w:r>
      <w:r>
        <w:t xml:space="preserve">ffering </w:t>
      </w:r>
      <w:r w:rsidR="00645F81">
        <w:t>D</w:t>
      </w:r>
      <w:r>
        <w:t>ocument</w:t>
      </w:r>
      <w:r w:rsidRPr="00417C27">
        <w:t xml:space="preserve">, including the AIF, and consult their own professional advisers to ascertain and assess the income tax and legal risks and other aspects associated with holding </w:t>
      </w:r>
      <w:r w:rsidR="00BD57D0">
        <w:t xml:space="preserve">Placement </w:t>
      </w:r>
      <w:r w:rsidRPr="00417C27">
        <w:t>Units.</w:t>
      </w:r>
    </w:p>
    <w:p w14:paraId="15584F28" w14:textId="77777777" w:rsidR="00472735" w:rsidRDefault="00472735" w:rsidP="00472735">
      <w:pPr>
        <w:pStyle w:val="Subtitle"/>
        <w:jc w:val="center"/>
      </w:pPr>
      <w:r>
        <w:lastRenderedPageBreak/>
        <w:t>SUMMARY DESCRIPTION OF BUSINESS</w:t>
      </w:r>
    </w:p>
    <w:p w14:paraId="77E17796" w14:textId="77777777" w:rsidR="00472735" w:rsidRDefault="00472735" w:rsidP="00472735">
      <w:pPr>
        <w:pStyle w:val="Subtitle"/>
      </w:pPr>
      <w:r>
        <w:t>What is our Business?</w:t>
      </w:r>
    </w:p>
    <w:p w14:paraId="1FB5AF54" w14:textId="77777777" w:rsidR="00472735" w:rsidRPr="00F87A3A" w:rsidRDefault="00472735" w:rsidP="00472735">
      <w:pPr>
        <w:pStyle w:val="TextLeft"/>
        <w:rPr>
          <w:b/>
          <w:bCs/>
          <w:u w:val="single"/>
        </w:rPr>
      </w:pPr>
      <w:r w:rsidRPr="00F87A3A">
        <w:rPr>
          <w:b/>
          <w:bCs/>
          <w:u w:val="single"/>
        </w:rPr>
        <w:t>General</w:t>
      </w:r>
    </w:p>
    <w:p w14:paraId="7CF45BA4" w14:textId="078299E9" w:rsidR="00BD57D0" w:rsidRDefault="00BD57D0" w:rsidP="00472735">
      <w:pPr>
        <w:pStyle w:val="Subtitle"/>
        <w:jc w:val="both"/>
        <w:rPr>
          <w:rFonts w:eastAsiaTheme="minorHAnsi" w:cstheme="minorBidi"/>
          <w:b w:val="0"/>
          <w:iCs w:val="0"/>
          <w:szCs w:val="20"/>
        </w:rPr>
      </w:pPr>
      <w:r w:rsidRPr="00BD57D0">
        <w:rPr>
          <w:rFonts w:eastAsiaTheme="minorHAnsi" w:cstheme="minorBidi"/>
          <w:b w:val="0"/>
          <w:iCs w:val="0"/>
          <w:szCs w:val="20"/>
        </w:rPr>
        <w:t xml:space="preserve">TAG is a Canadian based and listed international oil and gas exploration Company pursuing strategic exploration and production acquisition projects in Egypt and other opportunities in the Middle East and North African region. As at the date of this </w:t>
      </w:r>
      <w:r>
        <w:rPr>
          <w:rFonts w:eastAsiaTheme="minorHAnsi" w:cstheme="minorBidi"/>
          <w:b w:val="0"/>
          <w:iCs w:val="0"/>
          <w:szCs w:val="20"/>
        </w:rPr>
        <w:t>Offering Document</w:t>
      </w:r>
      <w:r w:rsidRPr="00BD57D0">
        <w:rPr>
          <w:rFonts w:eastAsiaTheme="minorHAnsi" w:cstheme="minorBidi"/>
          <w:b w:val="0"/>
          <w:iCs w:val="0"/>
          <w:szCs w:val="20"/>
        </w:rPr>
        <w:t>, the Company’s overall strategy is to grow</w:t>
      </w:r>
      <w:r w:rsidR="003D26F9">
        <w:rPr>
          <w:rFonts w:eastAsiaTheme="minorHAnsi" w:cstheme="minorBidi"/>
          <w:b w:val="0"/>
          <w:iCs w:val="0"/>
          <w:szCs w:val="20"/>
        </w:rPr>
        <w:t xml:space="preserve"> </w:t>
      </w:r>
      <w:r w:rsidRPr="00BD57D0">
        <w:rPr>
          <w:rFonts w:eastAsiaTheme="minorHAnsi" w:cstheme="minorBidi"/>
          <w:b w:val="0"/>
          <w:iCs w:val="0"/>
          <w:szCs w:val="20"/>
        </w:rPr>
        <w:t xml:space="preserve">its business via strategic transactions, property development, enhanced production methods, and capitalizing on overlooked oil and gas opportunities in the Middle East and North African region. </w:t>
      </w:r>
    </w:p>
    <w:p w14:paraId="11B4DB9B" w14:textId="0999A349" w:rsidR="00BD57D0" w:rsidRDefault="00BD57D0" w:rsidP="003D26F9">
      <w:pPr>
        <w:pStyle w:val="TextLeft"/>
        <w:keepNext/>
      </w:pPr>
      <w:r>
        <w:rPr>
          <w:b/>
          <w:bCs/>
          <w:u w:val="single"/>
        </w:rPr>
        <w:t>Specialized Skill and Knowledge</w:t>
      </w:r>
    </w:p>
    <w:p w14:paraId="07388E3B" w14:textId="013523F7" w:rsidR="00BD57D0" w:rsidRDefault="00BD57D0" w:rsidP="003D26F9">
      <w:pPr>
        <w:pStyle w:val="TextLeft"/>
        <w:keepNext/>
        <w:jc w:val="both"/>
      </w:pPr>
      <w:r w:rsidRPr="00BD57D0">
        <w:t xml:space="preserve">Exploration for and the development of petroleum and natural gas resources requires specialized skills and knowledge in the areas of petroleum engineering, geophysics, geology, and title. TAG has obtained personnel with the required specialized skills and knowledge to carry out its operations. </w:t>
      </w:r>
    </w:p>
    <w:p w14:paraId="766D2BD2" w14:textId="226A7370" w:rsidR="00BD57D0" w:rsidRDefault="00BD57D0" w:rsidP="00BD57D0">
      <w:pPr>
        <w:pStyle w:val="TextLeft"/>
        <w:jc w:val="both"/>
      </w:pPr>
      <w:r>
        <w:rPr>
          <w:b/>
          <w:bCs/>
          <w:u w:val="single"/>
        </w:rPr>
        <w:t>Competitive Conditions</w:t>
      </w:r>
    </w:p>
    <w:p w14:paraId="50092E40" w14:textId="16DE61F4" w:rsidR="00BD57D0" w:rsidRDefault="00BD57D0" w:rsidP="00BD57D0">
      <w:pPr>
        <w:pStyle w:val="TextLeft"/>
        <w:jc w:val="both"/>
      </w:pPr>
      <w:r w:rsidRPr="00BD57D0">
        <w:t>TAG actively competes for prospect acquisitions, exploration permits and licenses, and for skilled industry personnel with a substantial number of other oil and gas companies, many of which have significantly greater financial resources than TAG. TAG</w:t>
      </w:r>
      <w:r>
        <w:t>’s</w:t>
      </w:r>
      <w:r w:rsidRPr="00BD57D0">
        <w:t xml:space="preserve"> competitors include major integrated oil and natural gas companies, numerous other independent oil and natural gas companies and individual producers and operators. </w:t>
      </w:r>
    </w:p>
    <w:p w14:paraId="371CEF8C" w14:textId="2FBB6A62" w:rsidR="00BD57D0" w:rsidRDefault="00BD57D0" w:rsidP="00BD57D0">
      <w:pPr>
        <w:pStyle w:val="TextLeft"/>
        <w:jc w:val="both"/>
      </w:pPr>
      <w:r w:rsidRPr="00BD57D0">
        <w:t xml:space="preserve">TAG strives to be competitive by utilizing current technologies to enhance exploration, development, and operational activities. </w:t>
      </w:r>
    </w:p>
    <w:p w14:paraId="3F5EABE9" w14:textId="30A7F761" w:rsidR="00BD57D0" w:rsidRPr="00BD57D0" w:rsidRDefault="00BD57D0" w:rsidP="00BD57D0">
      <w:pPr>
        <w:pStyle w:val="TextLeft"/>
        <w:jc w:val="both"/>
      </w:pPr>
      <w:r w:rsidRPr="00BD57D0">
        <w:t>Certain of TAG</w:t>
      </w:r>
      <w:r>
        <w:t xml:space="preserve">’s </w:t>
      </w:r>
      <w:r w:rsidRPr="00BD57D0">
        <w:t>customers and potential customers are themselves exploring for oil and natural gas, and the results of such exploration efforts could affect TAG</w:t>
      </w:r>
      <w:r>
        <w:t xml:space="preserve">’s </w:t>
      </w:r>
      <w:r w:rsidRPr="00BD57D0">
        <w:t>ability to sell or supply oil or gas to these customers in the future. TAG</w:t>
      </w:r>
      <w:r>
        <w:t xml:space="preserve">’s </w:t>
      </w:r>
      <w:r w:rsidRPr="00BD57D0">
        <w:t>ability to successfully bid on and acquire additional property rights, to discover reserves, to participate in drilling opportunities and to identify and enter into commercial arrangements with customers will be dependent upon developing and maintaining close working relationships with industry participants and joint venture parties and its ability to select and evaluate suitable properties and to consummate transactions in a highly competitive environment.</w:t>
      </w:r>
    </w:p>
    <w:p w14:paraId="70AE26DB" w14:textId="59DE9FBA" w:rsidR="00BD57D0" w:rsidRDefault="00BD57D0" w:rsidP="00BD57D0">
      <w:pPr>
        <w:pStyle w:val="TextLeft"/>
      </w:pPr>
      <w:r>
        <w:rPr>
          <w:b/>
          <w:bCs/>
          <w:u w:val="single"/>
        </w:rPr>
        <w:t>Name, Address and Incorporation</w:t>
      </w:r>
    </w:p>
    <w:p w14:paraId="7E0BC9CC" w14:textId="3BBC385B" w:rsidR="00BD57D0" w:rsidRDefault="00BD57D0" w:rsidP="00BD57D0">
      <w:pPr>
        <w:pStyle w:val="TextLeft"/>
        <w:jc w:val="both"/>
      </w:pPr>
      <w:r w:rsidRPr="00BD57D0">
        <w:t xml:space="preserve">The Company’s full name is “TAG Oil Ltd.” and the Company’s registered and records office is located at </w:t>
      </w:r>
      <w:r w:rsidR="00645F81">
        <w:t>3500-1133 Melville Street</w:t>
      </w:r>
      <w:r w:rsidRPr="00645F81">
        <w:t>, Vancouver, B</w:t>
      </w:r>
      <w:r w:rsidR="00645F81">
        <w:t>ritish Columbia</w:t>
      </w:r>
      <w:r w:rsidRPr="00645F81">
        <w:t xml:space="preserve"> V6</w:t>
      </w:r>
      <w:r w:rsidR="00645F81" w:rsidRPr="00645F81">
        <w:t>E</w:t>
      </w:r>
      <w:r w:rsidRPr="00645F81">
        <w:t xml:space="preserve"> </w:t>
      </w:r>
      <w:r w:rsidR="00645F81" w:rsidRPr="00645F81">
        <w:t>4E5</w:t>
      </w:r>
      <w:r w:rsidRPr="00645F81">
        <w:t>,</w:t>
      </w:r>
      <w:r w:rsidRPr="00BD57D0">
        <w:t xml:space="preserve"> and its head office is located at 1710</w:t>
      </w:r>
      <w:r w:rsidR="00645F81">
        <w:t xml:space="preserve"> – </w:t>
      </w:r>
      <w:r w:rsidRPr="00BD57D0">
        <w:t xml:space="preserve">1050 West Pender Street, Vancouver, British Columbia, V6E 3S7. </w:t>
      </w:r>
    </w:p>
    <w:p w14:paraId="1365B8F8" w14:textId="032CD75D" w:rsidR="00BD57D0" w:rsidRPr="00BD57D0" w:rsidRDefault="00BD57D0" w:rsidP="00BD57D0">
      <w:pPr>
        <w:pStyle w:val="TextLeft"/>
        <w:jc w:val="both"/>
      </w:pPr>
      <w:r w:rsidRPr="00BD57D0">
        <w:t>TAG Oil was incorporated under the laws of British Columbia on December 12, 1990, under the name “398052 B.C. Ltd.” Its name was subsequently changed to “Aldus Energy (Canada) Corp.” on January 28, 1991, to “Aldus Energy Corp.” on April 4, 1991, to “Durum Energy Corp.” on July 18, 1991, to “Durum Cons. Energy Corp.” on October 27, 1998, and to its current name “TAG Oil Ltd.” on June 12, 2002. On October 29, 1997, the Company was continued into the Yukon Territory. On October 12, 2006, TAG Oil was re-domiciled from a Company existing under the Business Corporations Act (Yukon) back to British Columbia by way of continuance under the Business Corporations Act (British Columbia)</w:t>
      </w:r>
      <w:r>
        <w:t>.</w:t>
      </w:r>
    </w:p>
    <w:p w14:paraId="4701EBA5" w14:textId="77777777" w:rsidR="003B4754" w:rsidRDefault="00472735" w:rsidP="003B4754">
      <w:pPr>
        <w:pStyle w:val="Subtitle"/>
        <w:jc w:val="both"/>
      </w:pPr>
      <w:r w:rsidRPr="00A45DCF">
        <w:lastRenderedPageBreak/>
        <w:t>Recent Developments</w:t>
      </w:r>
    </w:p>
    <w:p w14:paraId="35EA29AA" w14:textId="2761C960" w:rsidR="003B4754" w:rsidRDefault="003B4754" w:rsidP="003B4754">
      <w:pPr>
        <w:pStyle w:val="TextLeft"/>
        <w:jc w:val="both"/>
      </w:pPr>
      <w:r w:rsidRPr="00BE652D">
        <w:t>Key recent developments involving or affecting the Company include:</w:t>
      </w:r>
    </w:p>
    <w:p w14:paraId="734D23C4" w14:textId="77777777" w:rsidR="003B4754" w:rsidRDefault="003B4754" w:rsidP="003B4754">
      <w:pPr>
        <w:pStyle w:val="TextLeft"/>
        <w:numPr>
          <w:ilvl w:val="0"/>
          <w:numId w:val="21"/>
        </w:numPr>
        <w:jc w:val="both"/>
      </w:pPr>
      <w:r w:rsidRPr="005E11F0">
        <w:t xml:space="preserve">On January 1, 2026, Mr. Doug Urch was appointed as </w:t>
      </w:r>
      <w:r>
        <w:t>VP</w:t>
      </w:r>
      <w:r w:rsidRPr="005E11F0">
        <w:t xml:space="preserve"> and </w:t>
      </w:r>
      <w:r>
        <w:t>CFO</w:t>
      </w:r>
      <w:r w:rsidRPr="005E11F0">
        <w:t xml:space="preserve"> of the Company to replace Mr. Barry MacNeil, whose term as </w:t>
      </w:r>
      <w:r>
        <w:t>CFO</w:t>
      </w:r>
      <w:r w:rsidRPr="005E11F0">
        <w:t xml:space="preserve"> concluded on December 31, 2025.</w:t>
      </w:r>
    </w:p>
    <w:p w14:paraId="7161FB34" w14:textId="6E0998EC" w:rsidR="003B4754" w:rsidRDefault="003B4754" w:rsidP="003B4754">
      <w:pPr>
        <w:pStyle w:val="TextLeft"/>
        <w:numPr>
          <w:ilvl w:val="0"/>
          <w:numId w:val="21"/>
        </w:numPr>
        <w:jc w:val="both"/>
      </w:pPr>
      <w:r>
        <w:t xml:space="preserve">On November 5, 2025, </w:t>
      </w:r>
      <w:r w:rsidRPr="00470C34">
        <w:t>the Company announced the results of an independent assessment of volumetric estimates of the Abu Roash “F” (</w:t>
      </w:r>
      <w:r w:rsidR="002476C8" w:rsidRPr="002476C8">
        <w:t>"</w:t>
      </w:r>
      <w:r w:rsidRPr="00470C34">
        <w:rPr>
          <w:b/>
          <w:bCs/>
        </w:rPr>
        <w:t>ARF</w:t>
      </w:r>
      <w:r w:rsidR="002476C8" w:rsidRPr="002476C8">
        <w:t>"</w:t>
      </w:r>
      <w:r w:rsidRPr="00470C34">
        <w:t>) unconventional, tight, carbonate reservoir in the Southeast Ras Qattara (</w:t>
      </w:r>
      <w:r w:rsidR="002476C8" w:rsidRPr="002476C8">
        <w:t>"</w:t>
      </w:r>
      <w:r w:rsidRPr="00470C34">
        <w:rPr>
          <w:b/>
          <w:bCs/>
        </w:rPr>
        <w:t>SERQ</w:t>
      </w:r>
      <w:r w:rsidR="002476C8" w:rsidRPr="002476C8">
        <w:t>"</w:t>
      </w:r>
      <w:r w:rsidRPr="00470C34">
        <w:t>) concession in Egypt’s Western Desert, prepared by Fracture Modelling Inc.</w:t>
      </w:r>
      <w:r>
        <w:t xml:space="preserve"> </w:t>
      </w:r>
      <w:r w:rsidRPr="00470C34">
        <w:t xml:space="preserve">(the </w:t>
      </w:r>
      <w:r w:rsidR="002476C8" w:rsidRPr="002476C8">
        <w:t>"</w:t>
      </w:r>
      <w:r w:rsidRPr="00470C34">
        <w:rPr>
          <w:b/>
          <w:bCs/>
        </w:rPr>
        <w:t>SERQ Report</w:t>
      </w:r>
      <w:r w:rsidR="002476C8" w:rsidRPr="002476C8">
        <w:t>"</w:t>
      </w:r>
      <w:r>
        <w:t>). Highlights of the SERQ Report includes</w:t>
      </w:r>
      <w:r w:rsidRPr="00470C34">
        <w:t xml:space="preserve"> </w:t>
      </w:r>
      <w:r>
        <w:t>that o</w:t>
      </w:r>
      <w:r w:rsidRPr="00470C34">
        <w:t>il-initially-in-place (OIIP) estimates for the ARF formation are 3.2 billion barrels covering an area of approximately 250 km² in the SERQ Concession.</w:t>
      </w:r>
    </w:p>
    <w:p w14:paraId="56EEF466" w14:textId="68FF10A9" w:rsidR="003B4754" w:rsidRDefault="003B4754" w:rsidP="003B4754">
      <w:pPr>
        <w:pStyle w:val="TextLeft"/>
        <w:numPr>
          <w:ilvl w:val="0"/>
          <w:numId w:val="21"/>
        </w:numPr>
        <w:jc w:val="both"/>
      </w:pPr>
      <w:r w:rsidRPr="005E11F0">
        <w:t xml:space="preserve">On November 3, 2025, the Company announced that the </w:t>
      </w:r>
      <w:r w:rsidRPr="005E11F0">
        <w:rPr>
          <w:lang w:val="en-US"/>
        </w:rPr>
        <w:t>Badr Oil Field (</w:t>
      </w:r>
      <w:r w:rsidR="002476C8" w:rsidRPr="002476C8">
        <w:rPr>
          <w:lang w:val="en-US"/>
        </w:rPr>
        <w:t>"</w:t>
      </w:r>
      <w:r w:rsidRPr="005E11F0">
        <w:rPr>
          <w:b/>
          <w:bCs/>
          <w:lang w:val="en-US"/>
        </w:rPr>
        <w:t>BED-1</w:t>
      </w:r>
      <w:r w:rsidR="002476C8" w:rsidRPr="002476C8">
        <w:rPr>
          <w:lang w:val="en-US"/>
        </w:rPr>
        <w:t>"</w:t>
      </w:r>
      <w:r w:rsidRPr="005E11F0">
        <w:rPr>
          <w:lang w:val="en-US"/>
        </w:rPr>
        <w:t>)</w:t>
      </w:r>
      <w:r>
        <w:rPr>
          <w:lang w:val="en-US"/>
        </w:rPr>
        <w:t xml:space="preserve"> </w:t>
      </w:r>
      <w:r w:rsidRPr="005E11F0">
        <w:t xml:space="preserve">evaluation period had been extended by three years to October 12, 2028. During the extension period, the Company commits to drill two additional wells at BED-1 and subject to drilling results, the Company may elect to proceed with full-scale commercial development of the </w:t>
      </w:r>
      <w:r w:rsidR="009F1DF8">
        <w:rPr>
          <w:lang w:val="en-US"/>
        </w:rPr>
        <w:t>ARF</w:t>
      </w:r>
      <w:r w:rsidRPr="005E11F0">
        <w:rPr>
          <w:lang w:val="en-US"/>
        </w:rPr>
        <w:t xml:space="preserve"> </w:t>
      </w:r>
      <w:r w:rsidRPr="005E11F0">
        <w:t xml:space="preserve">reservoir. The Company also amended the employment agreement of its </w:t>
      </w:r>
      <w:r>
        <w:t xml:space="preserve">V.P. and </w:t>
      </w:r>
      <w:r w:rsidRPr="005E11F0">
        <w:t>COO to continue through to December 31, 2025</w:t>
      </w:r>
      <w:r w:rsidR="008012E1" w:rsidRPr="008012E1">
        <w:t>.</w:t>
      </w:r>
    </w:p>
    <w:p w14:paraId="2822C64C" w14:textId="47E58493" w:rsidR="003B4754" w:rsidRDefault="003B4754" w:rsidP="003B4754">
      <w:pPr>
        <w:pStyle w:val="TextLeft"/>
        <w:numPr>
          <w:ilvl w:val="0"/>
          <w:numId w:val="21"/>
        </w:numPr>
        <w:jc w:val="both"/>
      </w:pPr>
      <w:r w:rsidRPr="005E11F0">
        <w:t xml:space="preserve">On October 31, 2025, the Company announced that it received approval to enter into a petroleum services agreement with Egyptian National Petroleum for Exploration and Development Company for the development of the </w:t>
      </w:r>
      <w:bookmarkStart w:id="2" w:name="_Hlk218864964"/>
      <w:r>
        <w:rPr>
          <w:lang w:val="en-US"/>
        </w:rPr>
        <w:t>ARF</w:t>
      </w:r>
      <w:r w:rsidRPr="005E11F0">
        <w:rPr>
          <w:lang w:val="en-US"/>
        </w:rPr>
        <w:t xml:space="preserve"> </w:t>
      </w:r>
      <w:bookmarkEnd w:id="2"/>
      <w:r w:rsidRPr="005E11F0">
        <w:rPr>
          <w:lang w:val="en-US"/>
        </w:rPr>
        <w:t>tight, carbonate reservoir</w:t>
      </w:r>
      <w:r w:rsidRPr="005E11F0">
        <w:t xml:space="preserve"> reservoir in </w:t>
      </w:r>
      <w:r w:rsidRPr="005E11F0">
        <w:rPr>
          <w:lang w:val="en-US"/>
        </w:rPr>
        <w:t xml:space="preserve">the </w:t>
      </w:r>
      <w:r w:rsidR="009F1DF8">
        <w:rPr>
          <w:lang w:val="en-US"/>
        </w:rPr>
        <w:t>SERQ</w:t>
      </w:r>
      <w:r w:rsidRPr="005E11F0">
        <w:rPr>
          <w:lang w:val="en-US"/>
        </w:rPr>
        <w:t xml:space="preserve"> </w:t>
      </w:r>
      <w:r w:rsidRPr="005E11F0">
        <w:t xml:space="preserve">concession in Egypt’s Western Desert. The agreement will become effective upon execution of the definitive </w:t>
      </w:r>
      <w:r w:rsidR="00087F21" w:rsidRPr="005E11F0">
        <w:t>agreement</w:t>
      </w:r>
      <w:r w:rsidRPr="005E11F0">
        <w:t xml:space="preserve"> and the posting of a US$100,000 performance letter of guarantee.</w:t>
      </w:r>
    </w:p>
    <w:p w14:paraId="591E11E6" w14:textId="695CDAB6" w:rsidR="003B4754" w:rsidRDefault="003B4754" w:rsidP="003B4754">
      <w:pPr>
        <w:pStyle w:val="TextLeft"/>
        <w:numPr>
          <w:ilvl w:val="0"/>
          <w:numId w:val="21"/>
        </w:numPr>
        <w:jc w:val="both"/>
      </w:pPr>
      <w:r w:rsidRPr="005E11F0">
        <w:t>On June 9, 2025, the Company announced that it closed the sale of its Australian royalty interests (3.0% gross overriding royalty on future potential of production revenue from exploration permits PL 17, ATP 2037 and ATP 2038). The Company completed the sale for total consideration of US$1,000,000.</w:t>
      </w:r>
    </w:p>
    <w:p w14:paraId="71A1788C" w14:textId="77777777" w:rsidR="003B4754" w:rsidRDefault="003B4754" w:rsidP="003B4754">
      <w:pPr>
        <w:pStyle w:val="TextLeft"/>
        <w:numPr>
          <w:ilvl w:val="0"/>
          <w:numId w:val="21"/>
        </w:numPr>
        <w:jc w:val="both"/>
      </w:pPr>
      <w:r w:rsidRPr="005E11F0">
        <w:t>On April 22, 2025, the Company announced that it closed the sale of its New Zealand royalty interests. The Company completed the sale for total consideration of up to US$2.5 million, comprising (i) cash of US$2.2 million received at closing and (ii) contingent milestone payments of up to US$0.3 million payable on or before December 31, 2027. The contingent portion was not recognized due to low likelihood of realization, based on current production and market outlook.</w:t>
      </w:r>
    </w:p>
    <w:p w14:paraId="5A9A8473" w14:textId="77777777" w:rsidR="003B4754" w:rsidRDefault="003B4754" w:rsidP="003B4754">
      <w:pPr>
        <w:pStyle w:val="TextLeft"/>
        <w:numPr>
          <w:ilvl w:val="0"/>
          <w:numId w:val="21"/>
        </w:numPr>
        <w:jc w:val="both"/>
      </w:pPr>
      <w:r w:rsidRPr="005E11F0">
        <w:t xml:space="preserve">On December 17, 2024, the Company announced the resignation of Mr. Toby Pierce as </w:t>
      </w:r>
      <w:r>
        <w:t>CEO</w:t>
      </w:r>
      <w:r w:rsidRPr="005E11F0">
        <w:t xml:space="preserve"> and appointed Mr. Abdel (Abby) Badwi as the new CEO of the Company. Subsequently, on January 7, 2025, the Company announced the resignation of Mr. Toby Pierce as director of the Company and issued 1,250,000 common shares at $0.16 per share as part of his employment severance package.</w:t>
      </w:r>
    </w:p>
    <w:p w14:paraId="74D817B3" w14:textId="77777777" w:rsidR="003B4754" w:rsidRPr="00BE652D" w:rsidRDefault="003B4754" w:rsidP="003B4754">
      <w:pPr>
        <w:pStyle w:val="TextLeft"/>
        <w:numPr>
          <w:ilvl w:val="0"/>
          <w:numId w:val="21"/>
        </w:numPr>
        <w:jc w:val="both"/>
      </w:pPr>
      <w:r w:rsidRPr="005E11F0">
        <w:t xml:space="preserve">On December 6, 2024, the Company issued 40,093,900 units at a price of $0.17 per unit for aggregate gross proceeds of $6.8 million. Each unit consists of one common share and one warrant exercisable at $0.25 per share and expiring on December 6, 2026. The aggregate underwriters’ fee paid to the underwriters in connection with the offering was $0.62 million in cash, 2,208,834 in broker warrants at $0.25 per share expiring December 6, 2026, and $0.4 million in other costs </w:t>
      </w:r>
      <w:r w:rsidRPr="005E11F0">
        <w:lastRenderedPageBreak/>
        <w:t xml:space="preserve">relating to the issuance. The </w:t>
      </w:r>
      <w:r>
        <w:t>o</w:t>
      </w:r>
      <w:r w:rsidRPr="005E11F0">
        <w:t>ffering was led by Research Capital Corporation as the lead agent and sole bookrunner, on behalf of a syndicate of agents, including Beacon Securities Limited, Canaccord Genuity Corp., Haywood Securities Inc., Ventum Financial Corp., and Tennyson Securities</w:t>
      </w:r>
      <w:r>
        <w:t>.</w:t>
      </w:r>
    </w:p>
    <w:p w14:paraId="28CFBC56" w14:textId="323913E0" w:rsidR="00472735" w:rsidRPr="00E17854" w:rsidRDefault="00472735" w:rsidP="00472735">
      <w:pPr>
        <w:pStyle w:val="TextLeft"/>
        <w:jc w:val="both"/>
      </w:pPr>
      <w:r w:rsidRPr="00E17854">
        <w:t>For further information regarding the Company, including recent developments since the Company’s year end December 31, 2024 to the date of this</w:t>
      </w:r>
      <w:r>
        <w:t xml:space="preserve"> </w:t>
      </w:r>
      <w:r w:rsidR="001D45DE">
        <w:t>O</w:t>
      </w:r>
      <w:r>
        <w:t xml:space="preserve">ffering </w:t>
      </w:r>
      <w:r w:rsidR="001D45DE">
        <w:t>D</w:t>
      </w:r>
      <w:r>
        <w:t>ocument</w:t>
      </w:r>
      <w:r w:rsidRPr="00E17854">
        <w:t xml:space="preserve">, see the documents available under the Company’s filings on SEDAR+ at </w:t>
      </w:r>
      <w:hyperlink r:id="rId9" w:history="1">
        <w:r w:rsidRPr="00561BF6">
          <w:rPr>
            <w:rStyle w:val="Hyperlink"/>
          </w:rPr>
          <w:t>www.sedarplus.ca</w:t>
        </w:r>
      </w:hyperlink>
      <w:r w:rsidRPr="00E17854">
        <w:t>.</w:t>
      </w:r>
    </w:p>
    <w:p w14:paraId="44790AE1" w14:textId="77777777" w:rsidR="00472735" w:rsidRDefault="00472735" w:rsidP="00472735">
      <w:pPr>
        <w:pStyle w:val="Subtitle"/>
        <w:jc w:val="both"/>
      </w:pPr>
      <w:r>
        <w:t>Material facts</w:t>
      </w:r>
    </w:p>
    <w:p w14:paraId="72A33932" w14:textId="6B60C09A" w:rsidR="00472735" w:rsidRDefault="00472735" w:rsidP="00472735">
      <w:pPr>
        <w:pStyle w:val="TextJustified"/>
      </w:pPr>
      <w:r>
        <w:t xml:space="preserve">There are no material facts about the securities being distributed that have not been disclosed in this </w:t>
      </w:r>
      <w:r w:rsidR="001D45DE">
        <w:t>O</w:t>
      </w:r>
      <w:r>
        <w:t xml:space="preserve">ffering </w:t>
      </w:r>
      <w:r w:rsidR="001D45DE">
        <w:t>D</w:t>
      </w:r>
      <w:r>
        <w:t xml:space="preserve">ocument or in any other document filed by the Company in the 12 months preceding the date of this </w:t>
      </w:r>
      <w:r w:rsidR="001D45DE">
        <w:t>O</w:t>
      </w:r>
      <w:r>
        <w:t xml:space="preserve">ffering </w:t>
      </w:r>
      <w:r w:rsidR="001D45DE">
        <w:t>D</w:t>
      </w:r>
      <w:r>
        <w:t xml:space="preserve">ocument. </w:t>
      </w:r>
    </w:p>
    <w:p w14:paraId="7AD61CBC" w14:textId="77777777" w:rsidR="00472735" w:rsidRDefault="00472735" w:rsidP="00472735">
      <w:pPr>
        <w:pStyle w:val="TextJustified"/>
        <w:keepNext/>
        <w:rPr>
          <w:b/>
          <w:bCs/>
        </w:rPr>
      </w:pPr>
      <w:r>
        <w:rPr>
          <w:b/>
          <w:bCs/>
        </w:rPr>
        <w:t>What are the business objectives that we expect to accomplish using the available funds?</w:t>
      </w:r>
    </w:p>
    <w:p w14:paraId="39A0EE03" w14:textId="7DD417B0" w:rsidR="003B4754" w:rsidRPr="003B4754" w:rsidRDefault="003B4754" w:rsidP="003B4754">
      <w:pPr>
        <w:pStyle w:val="TextJustified"/>
        <w:rPr>
          <w:bCs/>
        </w:rPr>
      </w:pPr>
      <w:r w:rsidRPr="003B4754">
        <w:rPr>
          <w:bCs/>
        </w:rPr>
        <w:t xml:space="preserve">The Company intends to use the net proceeds of the Offering to </w:t>
      </w:r>
      <w:bookmarkStart w:id="3" w:name="_Hlk220666862"/>
      <w:r w:rsidRPr="003B4754">
        <w:rPr>
          <w:bCs/>
        </w:rPr>
        <w:t xml:space="preserve">advance appraisal and development activities at both </w:t>
      </w:r>
      <w:r w:rsidR="00B702AA">
        <w:rPr>
          <w:bCs/>
        </w:rPr>
        <w:t xml:space="preserve">the </w:t>
      </w:r>
      <w:r>
        <w:rPr>
          <w:bCs/>
        </w:rPr>
        <w:t>BED-1</w:t>
      </w:r>
      <w:r w:rsidRPr="003B4754">
        <w:rPr>
          <w:bCs/>
        </w:rPr>
        <w:t xml:space="preserve"> and</w:t>
      </w:r>
      <w:r>
        <w:rPr>
          <w:bCs/>
        </w:rPr>
        <w:t xml:space="preserve"> SERQ</w:t>
      </w:r>
      <w:r w:rsidRPr="003B4754">
        <w:rPr>
          <w:bCs/>
        </w:rPr>
        <w:t xml:space="preserve"> </w:t>
      </w:r>
      <w:r w:rsidR="00B702AA">
        <w:rPr>
          <w:bCs/>
        </w:rPr>
        <w:t xml:space="preserve">concessions </w:t>
      </w:r>
      <w:r w:rsidRPr="003B4754">
        <w:rPr>
          <w:bCs/>
        </w:rPr>
        <w:t xml:space="preserve">and for general corporate purposes. </w:t>
      </w:r>
    </w:p>
    <w:p w14:paraId="542F73B8" w14:textId="738D5950" w:rsidR="003B4754" w:rsidRPr="003B4754" w:rsidRDefault="003B4754" w:rsidP="003B4754">
      <w:pPr>
        <w:pStyle w:val="TextJustified"/>
        <w:rPr>
          <w:bCs/>
        </w:rPr>
      </w:pPr>
      <w:r w:rsidRPr="003B4754">
        <w:rPr>
          <w:bCs/>
        </w:rPr>
        <w:t>Activities to be advanced with the proceeds include the drilling of a new vertical delineation well at B</w:t>
      </w:r>
      <w:r>
        <w:rPr>
          <w:bCs/>
        </w:rPr>
        <w:t>ED</w:t>
      </w:r>
      <w:r w:rsidRPr="003B4754">
        <w:rPr>
          <w:bCs/>
        </w:rPr>
        <w:t xml:space="preserve">-1 in the unconventional </w:t>
      </w:r>
      <w:r>
        <w:rPr>
          <w:bCs/>
        </w:rPr>
        <w:t>ARF</w:t>
      </w:r>
      <w:r w:rsidRPr="003B4754">
        <w:rPr>
          <w:bCs/>
        </w:rPr>
        <w:t xml:space="preserve"> resource play targeting lighter gravity crude in a high intensity natural fractured areas and perform a Diagnostic Fracture Injectivity Test (</w:t>
      </w:r>
      <w:r w:rsidR="002476C8" w:rsidRPr="002476C8">
        <w:rPr>
          <w:bCs/>
        </w:rPr>
        <w:t>"</w:t>
      </w:r>
      <w:r w:rsidRPr="001D45DE">
        <w:rPr>
          <w:b/>
        </w:rPr>
        <w:t>DFIT</w:t>
      </w:r>
      <w:r w:rsidR="002476C8" w:rsidRPr="002476C8">
        <w:rPr>
          <w:bCs/>
        </w:rPr>
        <w:t>"</w:t>
      </w:r>
      <w:r w:rsidRPr="003B4754">
        <w:rPr>
          <w:bCs/>
        </w:rPr>
        <w:t>) in an existing wellbore to evaluate the ARF potential at SERQ.</w:t>
      </w:r>
    </w:p>
    <w:bookmarkEnd w:id="3"/>
    <w:p w14:paraId="7E033CA4" w14:textId="3B774225" w:rsidR="00472735" w:rsidRPr="00E17854" w:rsidRDefault="00472735" w:rsidP="00472735">
      <w:pPr>
        <w:pStyle w:val="TextJustified"/>
        <w:rPr>
          <w:b/>
        </w:rPr>
      </w:pPr>
      <w:r>
        <w:rPr>
          <w:b/>
        </w:rPr>
        <w:t xml:space="preserve">Principal </w:t>
      </w:r>
      <w:r w:rsidRPr="00E17854">
        <w:rPr>
          <w:b/>
        </w:rPr>
        <w:t>Purposes</w:t>
      </w:r>
    </w:p>
    <w:p w14:paraId="6DECAE48" w14:textId="5A0D06A7" w:rsidR="001D45DE" w:rsidRDefault="001D45DE" w:rsidP="00472735">
      <w:pPr>
        <w:pStyle w:val="TextJustified"/>
      </w:pPr>
      <w:r w:rsidRPr="001D45DE">
        <w:t xml:space="preserve">The Company intends to use the net proceeds from the Offering to (i) advance appraisal and development activities in the Egypt Western Desert, at both BED-1 and at SERQ, and (ii) for unallocated working capital and general corporate purposes. Activities to be advanced with the proceeds include the drilling of anew vertical delineation well in the unconventional ARF reservoir at BED-1 and conduct </w:t>
      </w:r>
      <w:r>
        <w:t xml:space="preserve">the DFIT </w:t>
      </w:r>
      <w:r w:rsidRPr="001D45DE">
        <w:t>test at the SERQ concession.</w:t>
      </w:r>
    </w:p>
    <w:p w14:paraId="2273D02D" w14:textId="092C042C" w:rsidR="00472735" w:rsidRPr="00E17854" w:rsidRDefault="00472735" w:rsidP="00472735">
      <w:pPr>
        <w:pStyle w:val="TextJustified"/>
      </w:pPr>
      <w:r w:rsidRPr="00E17854">
        <w:t xml:space="preserve">The above represents the Company’s intentions with respect to its use of proceeds based on current knowledge, planning and expectations of management of the Company. The future developments in the Company’s business or unforeseen events, including </w:t>
      </w:r>
      <w:r>
        <w:t xml:space="preserve">referred to in this </w:t>
      </w:r>
      <w:r w:rsidR="001D45DE">
        <w:t>O</w:t>
      </w:r>
      <w:r>
        <w:t xml:space="preserve">ffering </w:t>
      </w:r>
      <w:r w:rsidR="001D45DE">
        <w:t>D</w:t>
      </w:r>
      <w:r>
        <w:t>ocument or contained</w:t>
      </w:r>
      <w:r w:rsidRPr="00E17854">
        <w:t xml:space="preserve"> “</w:t>
      </w:r>
      <w:r w:rsidRPr="00E17854">
        <w:rPr>
          <w:i/>
          <w:iCs/>
        </w:rPr>
        <w:t>Risk Factors</w:t>
      </w:r>
      <w:r w:rsidRPr="00E17854">
        <w:t>” in the AIF may impact the allocation. Management of the Company will retain broad discretion in allocating the net proceeds of the Offering and the Company’s actual use of the net proceeds will vary depending on the availability and suitability of investment opportunities and its operating and capital needs from time to time.</w:t>
      </w:r>
    </w:p>
    <w:p w14:paraId="50061D06" w14:textId="77777777" w:rsidR="00472735" w:rsidRPr="00E17854" w:rsidRDefault="00472735" w:rsidP="00472735">
      <w:pPr>
        <w:pStyle w:val="TextJustified"/>
      </w:pPr>
      <w:r w:rsidRPr="00E17854">
        <w:t xml:space="preserve">Potential investors are cautioned that, notwithstanding the Company’s current intentions regarding the use of the net proceeds of the Offering, there may be circumstances where a reallocation of the net proceeds may be advisable for reasons that management believes, in its discretion, are in the Company’s best interests. </w:t>
      </w:r>
    </w:p>
    <w:p w14:paraId="15943E62" w14:textId="77777777" w:rsidR="00472735" w:rsidRPr="00E17854" w:rsidRDefault="00472735" w:rsidP="00472735">
      <w:pPr>
        <w:pStyle w:val="TextJustified"/>
      </w:pPr>
      <w:r w:rsidRPr="00E17854">
        <w:t>Until applied, the net proceeds of the Offering will be held as cash balances in the Company’s bank account or invested in certificates of deposit and other instruments issued by banks or obligations of or guaranteed by the Government of Canada or any province thereof.</w:t>
      </w:r>
    </w:p>
    <w:p w14:paraId="7329E8DA" w14:textId="0C97DBEF" w:rsidR="00472735" w:rsidRDefault="00472735" w:rsidP="00472735">
      <w:pPr>
        <w:pStyle w:val="TextJustified"/>
      </w:pPr>
      <w:r w:rsidRPr="00E17854">
        <w:lastRenderedPageBreak/>
        <w:t>There is no assurance that additional equity or debt will be available to the Company or on terms acceptable or favourable to the Company.</w:t>
      </w:r>
    </w:p>
    <w:p w14:paraId="7C80E6A4" w14:textId="1D0EC258" w:rsidR="001D45DE" w:rsidRPr="00E17854" w:rsidRDefault="001D45DE" w:rsidP="00472735">
      <w:pPr>
        <w:pStyle w:val="TextJustified"/>
      </w:pPr>
      <w:r>
        <w:t>There are no significant events which must occur in order to accomplish these business objectives.</w:t>
      </w:r>
    </w:p>
    <w:p w14:paraId="1226E68F" w14:textId="77777777" w:rsidR="00472735" w:rsidRDefault="00472735" w:rsidP="00472735">
      <w:pPr>
        <w:pStyle w:val="Subtitle"/>
        <w:spacing w:before="240"/>
        <w:jc w:val="center"/>
      </w:pPr>
      <w:r>
        <w:t>USE OF AVAILABLE FUNDS</w:t>
      </w:r>
    </w:p>
    <w:p w14:paraId="4FA74AB3" w14:textId="77777777" w:rsidR="00BD57D0" w:rsidRDefault="00472735" w:rsidP="00472735">
      <w:pPr>
        <w:pStyle w:val="Subtitle"/>
      </w:pPr>
      <w:r>
        <w:t>What will our available funds be upon the closing of the Offering?</w:t>
      </w:r>
    </w:p>
    <w:p w14:paraId="7967A695" w14:textId="0D7BDE5E" w:rsidR="00472735" w:rsidRDefault="00BD57D0" w:rsidP="00BD57D0">
      <w:pPr>
        <w:jc w:val="both"/>
      </w:pPr>
      <w:r w:rsidRPr="00BD57D0">
        <w:t xml:space="preserve">Based on the Company’s existing working capital of </w:t>
      </w:r>
      <w:r w:rsidR="00B702AA">
        <w:t>$</w:t>
      </w:r>
      <w:r w:rsidR="00D96D2A">
        <w:t>1,706,</w:t>
      </w:r>
      <w:r w:rsidR="00B702AA">
        <w:t>000</w:t>
      </w:r>
      <w:r w:rsidRPr="00BD57D0">
        <w:t xml:space="preserve">, the expected availability of funds is </w:t>
      </w:r>
      <w:r w:rsidR="00B702AA">
        <w:t>$</w:t>
      </w:r>
      <w:r w:rsidR="00081A64">
        <w:t>10</w:t>
      </w:r>
      <w:r w:rsidR="00D96D2A">
        <w:t>,</w:t>
      </w:r>
      <w:r w:rsidR="00081A64">
        <w:t>7</w:t>
      </w:r>
      <w:r w:rsidR="00D96D2A">
        <w:t>5</w:t>
      </w:r>
      <w:r w:rsidR="007D4F50">
        <w:t>6</w:t>
      </w:r>
      <w:r w:rsidR="00B702AA">
        <w:t>,000</w:t>
      </w:r>
      <w:r w:rsidRPr="00BD57D0">
        <w:t xml:space="preserve"> in the case of the </w:t>
      </w:r>
      <w:r w:rsidR="00081A64">
        <w:t>Total</w:t>
      </w:r>
      <w:r w:rsidRPr="00BD57D0">
        <w:t xml:space="preserve"> </w:t>
      </w:r>
      <w:r>
        <w:t>O</w:t>
      </w:r>
      <w:r w:rsidRPr="00BD57D0">
        <w:t xml:space="preserve">ffering, and </w:t>
      </w:r>
      <w:r w:rsidR="00B702AA">
        <w:t>$</w:t>
      </w:r>
      <w:r w:rsidR="00081A64">
        <w:t>12</w:t>
      </w:r>
      <w:r w:rsidR="00D96D2A">
        <w:t>,</w:t>
      </w:r>
      <w:r w:rsidR="00081A64">
        <w:t>13</w:t>
      </w:r>
      <w:r w:rsidR="007D4F50">
        <w:t>6</w:t>
      </w:r>
      <w:r w:rsidR="00B702AA">
        <w:t>,000</w:t>
      </w:r>
      <w:r w:rsidRPr="00BD57D0">
        <w:t xml:space="preserve"> in the case of the </w:t>
      </w:r>
      <w:r>
        <w:t>M</w:t>
      </w:r>
      <w:r w:rsidRPr="00BD57D0">
        <w:t xml:space="preserve">aximum </w:t>
      </w:r>
      <w:r>
        <w:t>O</w:t>
      </w:r>
      <w:r w:rsidRPr="00BD57D0">
        <w:t>ffering, assuming full exercise of the Agent</w:t>
      </w:r>
      <w:r>
        <w:t>s’</w:t>
      </w:r>
      <w:r w:rsidRPr="00BD57D0">
        <w:t xml:space="preserve"> Option and in each case, assuming no</w:t>
      </w:r>
      <w:r>
        <w:t xml:space="preserve"> Placement</w:t>
      </w:r>
      <w:r w:rsidRPr="00BD57D0">
        <w:t xml:space="preserve"> Units sold to purchasers on the “President’s List</w:t>
      </w:r>
      <w:r w:rsidR="00A45DCF">
        <w:t>”.</w:t>
      </w:r>
    </w:p>
    <w:p w14:paraId="707A9038" w14:textId="77777777" w:rsidR="00B702AA" w:rsidRDefault="00B702AA" w:rsidP="00BD57D0">
      <w:pPr>
        <w:jc w:val="both"/>
      </w:pPr>
    </w:p>
    <w:tbl>
      <w:tblPr>
        <w:tblStyle w:val="TableGrid"/>
        <w:tblW w:w="5000" w:type="pct"/>
        <w:tblCellMar>
          <w:top w:w="29" w:type="dxa"/>
          <w:bottom w:w="29" w:type="dxa"/>
        </w:tblCellMar>
        <w:tblLook w:val="04A0" w:firstRow="1" w:lastRow="0" w:firstColumn="1" w:lastColumn="0" w:noHBand="0" w:noVBand="1"/>
      </w:tblPr>
      <w:tblGrid>
        <w:gridCol w:w="595"/>
        <w:gridCol w:w="3991"/>
        <w:gridCol w:w="2339"/>
        <w:gridCol w:w="2425"/>
      </w:tblGrid>
      <w:tr w:rsidR="00B702AA" w14:paraId="687C0C59" w14:textId="77777777" w:rsidTr="00661D8A">
        <w:trPr>
          <w:cantSplit/>
          <w:trHeight w:val="20"/>
          <w:tblHeader/>
        </w:trPr>
        <w:tc>
          <w:tcPr>
            <w:tcW w:w="318" w:type="pct"/>
            <w:shd w:val="clear" w:color="auto" w:fill="D9D9D9" w:themeFill="background1" w:themeFillShade="D9"/>
          </w:tcPr>
          <w:p w14:paraId="5A9D24D5" w14:textId="77777777" w:rsidR="00B702AA" w:rsidRDefault="00B702AA" w:rsidP="00B9578F">
            <w:pPr>
              <w:pStyle w:val="TableText"/>
              <w:spacing w:line="240" w:lineRule="auto"/>
            </w:pPr>
          </w:p>
        </w:tc>
        <w:tc>
          <w:tcPr>
            <w:tcW w:w="2134" w:type="pct"/>
            <w:shd w:val="clear" w:color="auto" w:fill="D9D9D9" w:themeFill="background1" w:themeFillShade="D9"/>
          </w:tcPr>
          <w:p w14:paraId="599AE01C" w14:textId="77777777" w:rsidR="00B702AA" w:rsidRDefault="00B702AA" w:rsidP="00B9578F">
            <w:pPr>
              <w:pStyle w:val="TableText"/>
              <w:spacing w:line="240" w:lineRule="auto"/>
              <w:rPr>
                <w:b/>
                <w:bCs/>
              </w:rPr>
            </w:pPr>
          </w:p>
        </w:tc>
        <w:tc>
          <w:tcPr>
            <w:tcW w:w="1251" w:type="pct"/>
            <w:shd w:val="clear" w:color="auto" w:fill="D9D9D9" w:themeFill="background1" w:themeFillShade="D9"/>
          </w:tcPr>
          <w:p w14:paraId="25947F1F" w14:textId="012C18FC" w:rsidR="00B702AA" w:rsidRDefault="00B702AA" w:rsidP="00B9578F">
            <w:pPr>
              <w:pStyle w:val="TableText"/>
              <w:spacing w:line="240" w:lineRule="auto"/>
              <w:jc w:val="center"/>
              <w:rPr>
                <w:b/>
                <w:bCs/>
              </w:rPr>
            </w:pPr>
            <w:r>
              <w:rPr>
                <w:b/>
                <w:bCs/>
              </w:rPr>
              <w:t xml:space="preserve">Assuming 100% of </w:t>
            </w:r>
            <w:r w:rsidR="00661D8A">
              <w:rPr>
                <w:b/>
                <w:bCs/>
              </w:rPr>
              <w:t xml:space="preserve">the </w:t>
            </w:r>
            <w:r w:rsidR="00081A64">
              <w:rPr>
                <w:b/>
                <w:bCs/>
              </w:rPr>
              <w:t xml:space="preserve">Total </w:t>
            </w:r>
            <w:r>
              <w:rPr>
                <w:b/>
                <w:bCs/>
              </w:rPr>
              <w:t>Offering</w:t>
            </w:r>
          </w:p>
        </w:tc>
        <w:tc>
          <w:tcPr>
            <w:tcW w:w="1297" w:type="pct"/>
            <w:shd w:val="clear" w:color="auto" w:fill="D9D9D9" w:themeFill="background1" w:themeFillShade="D9"/>
          </w:tcPr>
          <w:p w14:paraId="4CDD7FC8" w14:textId="4084A784" w:rsidR="00B702AA" w:rsidRDefault="00B702AA" w:rsidP="00B9578F">
            <w:pPr>
              <w:pStyle w:val="TableText"/>
              <w:spacing w:line="240" w:lineRule="auto"/>
              <w:jc w:val="center"/>
              <w:rPr>
                <w:b/>
                <w:bCs/>
              </w:rPr>
            </w:pPr>
            <w:r>
              <w:rPr>
                <w:b/>
                <w:bCs/>
              </w:rPr>
              <w:t xml:space="preserve">Assuming 100% of </w:t>
            </w:r>
            <w:r w:rsidR="00661D8A">
              <w:rPr>
                <w:b/>
                <w:bCs/>
              </w:rPr>
              <w:t xml:space="preserve">the </w:t>
            </w:r>
            <w:r>
              <w:rPr>
                <w:b/>
                <w:bCs/>
              </w:rPr>
              <w:t>Maximum Offering</w:t>
            </w:r>
          </w:p>
        </w:tc>
      </w:tr>
      <w:tr w:rsidR="00B702AA" w:rsidRPr="00F87A3A" w14:paraId="5A1C09F9" w14:textId="77777777" w:rsidTr="00661D8A">
        <w:trPr>
          <w:trHeight w:val="20"/>
        </w:trPr>
        <w:tc>
          <w:tcPr>
            <w:tcW w:w="318" w:type="pct"/>
          </w:tcPr>
          <w:p w14:paraId="79F2935C" w14:textId="77777777" w:rsidR="00B702AA" w:rsidRPr="00E7230B" w:rsidRDefault="00B702AA" w:rsidP="00B9578F">
            <w:pPr>
              <w:pStyle w:val="TableText"/>
              <w:spacing w:before="0" w:after="120"/>
            </w:pPr>
            <w:r w:rsidRPr="00E7230B">
              <w:t>A</w:t>
            </w:r>
          </w:p>
        </w:tc>
        <w:tc>
          <w:tcPr>
            <w:tcW w:w="2134" w:type="pct"/>
          </w:tcPr>
          <w:p w14:paraId="6A0C393D" w14:textId="703436B6" w:rsidR="00B702AA" w:rsidRPr="00E7230B" w:rsidRDefault="00B702AA" w:rsidP="00B9578F">
            <w:pPr>
              <w:pStyle w:val="TableText"/>
              <w:spacing w:before="0" w:after="120"/>
              <w:rPr>
                <w:vertAlign w:val="superscript"/>
              </w:rPr>
            </w:pPr>
            <w:r w:rsidRPr="00E7230B">
              <w:t xml:space="preserve">Amount to be raised by this </w:t>
            </w:r>
            <w:r w:rsidR="00081A64">
              <w:t>O</w:t>
            </w:r>
            <w:r w:rsidRPr="00E7230B">
              <w:t>ffering</w:t>
            </w:r>
            <w:r w:rsidR="00081A64">
              <w:t xml:space="preserve"> and the Concurrent Offering</w:t>
            </w:r>
          </w:p>
        </w:tc>
        <w:tc>
          <w:tcPr>
            <w:tcW w:w="1251" w:type="pct"/>
          </w:tcPr>
          <w:p w14:paraId="71FCCD12" w14:textId="06A00FA6" w:rsidR="00B702AA" w:rsidRPr="003F57C7" w:rsidRDefault="00B702AA" w:rsidP="00B9578F">
            <w:pPr>
              <w:spacing w:after="120"/>
              <w:jc w:val="right"/>
            </w:pPr>
            <w:r w:rsidRPr="003F57C7">
              <w:t>$</w:t>
            </w:r>
            <w:r w:rsidR="00081A64">
              <w:t>10</w:t>
            </w:r>
            <w:r w:rsidRPr="003F57C7">
              <w:t>,000,000</w:t>
            </w:r>
          </w:p>
        </w:tc>
        <w:tc>
          <w:tcPr>
            <w:tcW w:w="1297" w:type="pct"/>
          </w:tcPr>
          <w:p w14:paraId="0A542BAC" w14:textId="0D34E761" w:rsidR="00B702AA" w:rsidRPr="003F57C7" w:rsidRDefault="00B702AA" w:rsidP="00B9578F">
            <w:pPr>
              <w:spacing w:after="120"/>
              <w:jc w:val="right"/>
            </w:pPr>
            <w:r w:rsidRPr="003F57C7">
              <w:t>$</w:t>
            </w:r>
            <w:r w:rsidR="00081A64">
              <w:t>11</w:t>
            </w:r>
            <w:r w:rsidRPr="003F57C7">
              <w:t>,</w:t>
            </w:r>
            <w:r w:rsidR="00081A64">
              <w:t>50</w:t>
            </w:r>
            <w:r w:rsidRPr="003F57C7">
              <w:t>0,000</w:t>
            </w:r>
          </w:p>
        </w:tc>
      </w:tr>
      <w:tr w:rsidR="00B702AA" w:rsidRPr="00A92734" w14:paraId="4ABCAF9B" w14:textId="77777777" w:rsidTr="00661D8A">
        <w:trPr>
          <w:trHeight w:val="20"/>
        </w:trPr>
        <w:tc>
          <w:tcPr>
            <w:tcW w:w="318" w:type="pct"/>
          </w:tcPr>
          <w:p w14:paraId="00B780E9" w14:textId="77777777" w:rsidR="00B702AA" w:rsidRPr="00A92734" w:rsidRDefault="00B702AA" w:rsidP="00B9578F">
            <w:pPr>
              <w:pStyle w:val="TableText"/>
              <w:spacing w:before="0" w:after="120"/>
            </w:pPr>
            <w:r w:rsidRPr="00A92734">
              <w:t>B</w:t>
            </w:r>
          </w:p>
        </w:tc>
        <w:tc>
          <w:tcPr>
            <w:tcW w:w="2134" w:type="pct"/>
          </w:tcPr>
          <w:p w14:paraId="1AD909E4" w14:textId="77777777" w:rsidR="00B702AA" w:rsidRPr="00BD57D0" w:rsidRDefault="00B702AA" w:rsidP="00B9578F">
            <w:pPr>
              <w:pStyle w:val="TableText"/>
              <w:spacing w:before="0" w:after="120"/>
              <w:rPr>
                <w:vertAlign w:val="superscript"/>
              </w:rPr>
            </w:pPr>
            <w:r w:rsidRPr="00A92734">
              <w:t>Selling commissions and fees</w:t>
            </w:r>
            <w:r>
              <w:rPr>
                <w:vertAlign w:val="superscript"/>
              </w:rPr>
              <w:t>1</w:t>
            </w:r>
          </w:p>
        </w:tc>
        <w:tc>
          <w:tcPr>
            <w:tcW w:w="1251" w:type="pct"/>
          </w:tcPr>
          <w:p w14:paraId="135D3FDB" w14:textId="1A0EC797" w:rsidR="00B702AA" w:rsidRPr="003F57C7" w:rsidRDefault="00B702AA" w:rsidP="00B9578F">
            <w:pPr>
              <w:spacing w:after="120"/>
              <w:jc w:val="right"/>
            </w:pPr>
            <w:r w:rsidRPr="003F57C7">
              <w:rPr>
                <w:rFonts w:eastAsia="Arial" w:cs="Arial"/>
              </w:rPr>
              <w:t>$</w:t>
            </w:r>
            <w:r w:rsidR="00081A64">
              <w:rPr>
                <w:rFonts w:eastAsia="Arial" w:cs="Arial"/>
              </w:rPr>
              <w:t>8</w:t>
            </w:r>
            <w:r w:rsidRPr="003F57C7">
              <w:rPr>
                <w:rFonts w:eastAsia="Arial" w:cs="Arial"/>
              </w:rPr>
              <w:t>00,000</w:t>
            </w:r>
          </w:p>
        </w:tc>
        <w:tc>
          <w:tcPr>
            <w:tcW w:w="1297" w:type="pct"/>
          </w:tcPr>
          <w:p w14:paraId="7B67733C" w14:textId="1921976A" w:rsidR="00B702AA" w:rsidRPr="003F57C7" w:rsidRDefault="00B702AA" w:rsidP="00B9578F">
            <w:pPr>
              <w:spacing w:after="120"/>
              <w:jc w:val="right"/>
            </w:pPr>
            <w:r w:rsidRPr="003F57C7">
              <w:rPr>
                <w:rFonts w:eastAsia="Arial" w:cs="Arial"/>
              </w:rPr>
              <w:t>$</w:t>
            </w:r>
            <w:r w:rsidR="00081A64">
              <w:rPr>
                <w:rFonts w:eastAsia="Arial" w:cs="Arial"/>
              </w:rPr>
              <w:t>920</w:t>
            </w:r>
            <w:r w:rsidRPr="003F57C7">
              <w:rPr>
                <w:rFonts w:eastAsia="Arial" w:cs="Arial"/>
              </w:rPr>
              <w:t>,000</w:t>
            </w:r>
          </w:p>
        </w:tc>
      </w:tr>
      <w:tr w:rsidR="00B702AA" w:rsidRPr="00A92734" w14:paraId="5A0F23E6" w14:textId="77777777" w:rsidTr="00661D8A">
        <w:trPr>
          <w:trHeight w:val="20"/>
        </w:trPr>
        <w:tc>
          <w:tcPr>
            <w:tcW w:w="318" w:type="pct"/>
          </w:tcPr>
          <w:p w14:paraId="43A9B7A2" w14:textId="77777777" w:rsidR="00B702AA" w:rsidRPr="00A92734" w:rsidRDefault="00B702AA" w:rsidP="00B9578F">
            <w:pPr>
              <w:pStyle w:val="TableText"/>
              <w:spacing w:before="0" w:after="120"/>
            </w:pPr>
            <w:r w:rsidRPr="00A92734">
              <w:t>C</w:t>
            </w:r>
          </w:p>
        </w:tc>
        <w:tc>
          <w:tcPr>
            <w:tcW w:w="2134" w:type="pct"/>
          </w:tcPr>
          <w:p w14:paraId="60F69206" w14:textId="77777777" w:rsidR="00B702AA" w:rsidRPr="00A92734" w:rsidRDefault="00B702AA" w:rsidP="00B9578F">
            <w:pPr>
              <w:pStyle w:val="TableText"/>
              <w:spacing w:before="0" w:after="120"/>
            </w:pPr>
            <w:r w:rsidRPr="00A92734">
              <w:t>Estimated offering costs (e.g., legal, accounting, audit)</w:t>
            </w:r>
          </w:p>
        </w:tc>
        <w:tc>
          <w:tcPr>
            <w:tcW w:w="1251" w:type="pct"/>
          </w:tcPr>
          <w:p w14:paraId="6E4CD7A7" w14:textId="77777777" w:rsidR="00B702AA" w:rsidRPr="003F57C7" w:rsidRDefault="00B702AA" w:rsidP="00B9578F">
            <w:pPr>
              <w:spacing w:after="120"/>
              <w:jc w:val="right"/>
            </w:pPr>
            <w:r w:rsidRPr="003F57C7">
              <w:rPr>
                <w:rFonts w:eastAsia="Arial" w:cs="Arial"/>
              </w:rPr>
              <w:t>$150,000</w:t>
            </w:r>
          </w:p>
        </w:tc>
        <w:tc>
          <w:tcPr>
            <w:tcW w:w="1297" w:type="pct"/>
          </w:tcPr>
          <w:p w14:paraId="14FA1BF4" w14:textId="77777777" w:rsidR="00B702AA" w:rsidRPr="003F57C7" w:rsidRDefault="00B702AA" w:rsidP="00B9578F">
            <w:pPr>
              <w:spacing w:after="120"/>
              <w:jc w:val="right"/>
            </w:pPr>
            <w:r w:rsidRPr="003F57C7">
              <w:rPr>
                <w:rFonts w:eastAsia="Arial" w:cs="Arial"/>
              </w:rPr>
              <w:t>$150,000</w:t>
            </w:r>
          </w:p>
        </w:tc>
      </w:tr>
      <w:tr w:rsidR="00B702AA" w:rsidRPr="00A92734" w14:paraId="45393AE5" w14:textId="77777777" w:rsidTr="00661D8A">
        <w:trPr>
          <w:trHeight w:val="20"/>
        </w:trPr>
        <w:tc>
          <w:tcPr>
            <w:tcW w:w="318" w:type="pct"/>
          </w:tcPr>
          <w:p w14:paraId="11E11A9B" w14:textId="77777777" w:rsidR="00B702AA" w:rsidRPr="00A92734" w:rsidRDefault="00B702AA" w:rsidP="00B9578F">
            <w:pPr>
              <w:pStyle w:val="TableText"/>
              <w:spacing w:before="0" w:after="120"/>
            </w:pPr>
            <w:r w:rsidRPr="00A92734">
              <w:t>D</w:t>
            </w:r>
          </w:p>
        </w:tc>
        <w:tc>
          <w:tcPr>
            <w:tcW w:w="2134" w:type="pct"/>
          </w:tcPr>
          <w:p w14:paraId="03C65CF1" w14:textId="77777777" w:rsidR="00B702AA" w:rsidRPr="00A92734" w:rsidRDefault="00B702AA" w:rsidP="00B9578F">
            <w:pPr>
              <w:pStyle w:val="TableText"/>
              <w:spacing w:before="0" w:after="120"/>
            </w:pPr>
            <w:r w:rsidRPr="00A92734">
              <w:t>Net proceeds of offering: D = A – (B + C)</w:t>
            </w:r>
          </w:p>
        </w:tc>
        <w:tc>
          <w:tcPr>
            <w:tcW w:w="1251" w:type="pct"/>
          </w:tcPr>
          <w:p w14:paraId="6BE8389A" w14:textId="6F4B4533" w:rsidR="00B702AA" w:rsidRPr="003F57C7" w:rsidRDefault="00B702AA" w:rsidP="00B9578F">
            <w:pPr>
              <w:spacing w:after="120"/>
              <w:jc w:val="right"/>
            </w:pPr>
            <w:r w:rsidRPr="003F57C7">
              <w:rPr>
                <w:rFonts w:eastAsia="Arial" w:cs="Arial"/>
              </w:rPr>
              <w:t>$</w:t>
            </w:r>
            <w:r w:rsidR="00081A64">
              <w:rPr>
                <w:rFonts w:eastAsia="Arial" w:cs="Arial"/>
              </w:rPr>
              <w:t>9</w:t>
            </w:r>
            <w:r w:rsidRPr="003F57C7">
              <w:rPr>
                <w:rFonts w:eastAsia="Arial" w:cs="Arial"/>
              </w:rPr>
              <w:t>,</w:t>
            </w:r>
            <w:r w:rsidR="00081A64">
              <w:rPr>
                <w:rFonts w:eastAsia="Arial" w:cs="Arial"/>
              </w:rPr>
              <w:t>0</w:t>
            </w:r>
            <w:r w:rsidRPr="003F57C7">
              <w:rPr>
                <w:rFonts w:eastAsia="Arial" w:cs="Arial"/>
              </w:rPr>
              <w:t>50,000</w:t>
            </w:r>
          </w:p>
        </w:tc>
        <w:tc>
          <w:tcPr>
            <w:tcW w:w="1297" w:type="pct"/>
          </w:tcPr>
          <w:p w14:paraId="46D06ED8" w14:textId="7395FD66" w:rsidR="00B702AA" w:rsidRPr="003F57C7" w:rsidRDefault="00B702AA" w:rsidP="00B9578F">
            <w:pPr>
              <w:spacing w:after="120"/>
              <w:jc w:val="right"/>
            </w:pPr>
            <w:r w:rsidRPr="003F57C7">
              <w:rPr>
                <w:rFonts w:eastAsia="Arial" w:cs="Arial"/>
              </w:rPr>
              <w:t>$</w:t>
            </w:r>
            <w:r w:rsidR="00081A64">
              <w:rPr>
                <w:rFonts w:eastAsia="Arial" w:cs="Arial"/>
              </w:rPr>
              <w:t>10</w:t>
            </w:r>
            <w:r w:rsidRPr="003F57C7">
              <w:rPr>
                <w:rFonts w:eastAsia="Arial" w:cs="Arial"/>
              </w:rPr>
              <w:t>,</w:t>
            </w:r>
            <w:r w:rsidR="00081A64">
              <w:rPr>
                <w:rFonts w:eastAsia="Arial" w:cs="Arial"/>
              </w:rPr>
              <w:t>43</w:t>
            </w:r>
            <w:r w:rsidRPr="003F57C7">
              <w:rPr>
                <w:rFonts w:eastAsia="Arial" w:cs="Arial"/>
              </w:rPr>
              <w:t>0,000</w:t>
            </w:r>
          </w:p>
        </w:tc>
      </w:tr>
      <w:tr w:rsidR="00B702AA" w:rsidRPr="00A92734" w14:paraId="7D1BC06C" w14:textId="77777777" w:rsidTr="00661D8A">
        <w:trPr>
          <w:trHeight w:val="20"/>
        </w:trPr>
        <w:tc>
          <w:tcPr>
            <w:tcW w:w="318" w:type="pct"/>
          </w:tcPr>
          <w:p w14:paraId="3F9548A5" w14:textId="77777777" w:rsidR="00B702AA" w:rsidRPr="00A92734" w:rsidRDefault="00B702AA" w:rsidP="00B9578F">
            <w:pPr>
              <w:pStyle w:val="TableText"/>
              <w:spacing w:before="0" w:after="120"/>
            </w:pPr>
            <w:r w:rsidRPr="00A92734">
              <w:t>E</w:t>
            </w:r>
          </w:p>
        </w:tc>
        <w:tc>
          <w:tcPr>
            <w:tcW w:w="2134" w:type="pct"/>
          </w:tcPr>
          <w:p w14:paraId="5D10B988" w14:textId="77777777" w:rsidR="00B702AA" w:rsidRPr="00A92734" w:rsidRDefault="00B702AA" w:rsidP="00B9578F">
            <w:pPr>
              <w:pStyle w:val="TableText"/>
              <w:spacing w:before="0" w:after="120"/>
              <w:rPr>
                <w:vertAlign w:val="superscript"/>
              </w:rPr>
            </w:pPr>
            <w:r w:rsidRPr="00A92734">
              <w:t>Working capital as at most recent month end (deficiency)</w:t>
            </w:r>
            <w:r w:rsidRPr="00A92734">
              <w:rPr>
                <w:vertAlign w:val="superscript"/>
              </w:rPr>
              <w:t>(2)</w:t>
            </w:r>
          </w:p>
        </w:tc>
        <w:tc>
          <w:tcPr>
            <w:tcW w:w="1251" w:type="pct"/>
          </w:tcPr>
          <w:p w14:paraId="65AA7D35" w14:textId="5CC21241" w:rsidR="00B702AA" w:rsidRPr="00A92734" w:rsidRDefault="009D2673" w:rsidP="00B9578F">
            <w:pPr>
              <w:spacing w:after="120"/>
              <w:jc w:val="right"/>
            </w:pPr>
            <w:r>
              <w:rPr>
                <w:rFonts w:eastAsia="Arial" w:cs="Arial"/>
              </w:rPr>
              <w:t>$</w:t>
            </w:r>
            <w:r w:rsidR="001159E6">
              <w:rPr>
                <w:rFonts w:eastAsia="Arial" w:cs="Arial"/>
              </w:rPr>
              <w:t>1,706</w:t>
            </w:r>
            <w:r w:rsidR="00B702AA">
              <w:rPr>
                <w:rFonts w:eastAsia="Arial" w:cs="Arial"/>
              </w:rPr>
              <w:t>,000</w:t>
            </w:r>
          </w:p>
        </w:tc>
        <w:tc>
          <w:tcPr>
            <w:tcW w:w="1297" w:type="pct"/>
          </w:tcPr>
          <w:p w14:paraId="58923C2F" w14:textId="0DDA3B86" w:rsidR="00B702AA" w:rsidRPr="00A92734" w:rsidRDefault="009D2673" w:rsidP="00B9578F">
            <w:pPr>
              <w:spacing w:after="120"/>
              <w:jc w:val="right"/>
            </w:pPr>
            <w:r>
              <w:rPr>
                <w:rFonts w:eastAsia="Arial" w:cs="Arial"/>
              </w:rPr>
              <w:t>$</w:t>
            </w:r>
            <w:r w:rsidR="001159E6">
              <w:rPr>
                <w:rFonts w:eastAsia="Arial" w:cs="Arial"/>
              </w:rPr>
              <w:t>1,706</w:t>
            </w:r>
            <w:r w:rsidR="00B702AA">
              <w:rPr>
                <w:rFonts w:eastAsia="Arial" w:cs="Arial"/>
              </w:rPr>
              <w:t>,000</w:t>
            </w:r>
          </w:p>
        </w:tc>
      </w:tr>
      <w:tr w:rsidR="00B702AA" w:rsidRPr="00A92734" w14:paraId="3CF2FF79" w14:textId="77777777" w:rsidTr="00661D8A">
        <w:trPr>
          <w:trHeight w:val="20"/>
        </w:trPr>
        <w:tc>
          <w:tcPr>
            <w:tcW w:w="318" w:type="pct"/>
          </w:tcPr>
          <w:p w14:paraId="2CB1D7E9" w14:textId="77777777" w:rsidR="00B702AA" w:rsidRPr="00A92734" w:rsidRDefault="00B702AA" w:rsidP="00B9578F">
            <w:pPr>
              <w:pStyle w:val="TableText"/>
              <w:spacing w:before="0" w:after="120"/>
            </w:pPr>
            <w:r w:rsidRPr="00A92734">
              <w:t>F</w:t>
            </w:r>
          </w:p>
        </w:tc>
        <w:tc>
          <w:tcPr>
            <w:tcW w:w="2134" w:type="pct"/>
          </w:tcPr>
          <w:p w14:paraId="3DB4D60B" w14:textId="77777777" w:rsidR="00B702AA" w:rsidRPr="00A92734" w:rsidRDefault="00B702AA" w:rsidP="00B9578F">
            <w:pPr>
              <w:pStyle w:val="TableText"/>
              <w:spacing w:before="0" w:after="120"/>
              <w:rPr>
                <w:vertAlign w:val="superscript"/>
              </w:rPr>
            </w:pPr>
            <w:r w:rsidRPr="00A92734">
              <w:t>Additional sources of funding</w:t>
            </w:r>
          </w:p>
        </w:tc>
        <w:tc>
          <w:tcPr>
            <w:tcW w:w="1251" w:type="pct"/>
          </w:tcPr>
          <w:p w14:paraId="5D843A03" w14:textId="14A95816" w:rsidR="00B702AA" w:rsidRPr="00A92734" w:rsidRDefault="009D2673" w:rsidP="00B9578F">
            <w:pPr>
              <w:spacing w:after="120"/>
              <w:jc w:val="right"/>
            </w:pPr>
            <w:r>
              <w:rPr>
                <w:rFonts w:eastAsia="Arial" w:cs="Arial"/>
              </w:rPr>
              <w:t>n</w:t>
            </w:r>
            <w:r w:rsidR="00B702AA">
              <w:rPr>
                <w:rFonts w:eastAsia="Arial" w:cs="Arial"/>
              </w:rPr>
              <w:t>il</w:t>
            </w:r>
          </w:p>
        </w:tc>
        <w:tc>
          <w:tcPr>
            <w:tcW w:w="1297" w:type="pct"/>
          </w:tcPr>
          <w:p w14:paraId="34B27303" w14:textId="3AA49B01" w:rsidR="00B702AA" w:rsidRPr="00A92734" w:rsidRDefault="009D2673" w:rsidP="00B9578F">
            <w:pPr>
              <w:spacing w:after="120"/>
              <w:jc w:val="right"/>
            </w:pPr>
            <w:r>
              <w:rPr>
                <w:rFonts w:eastAsia="Arial" w:cs="Arial"/>
              </w:rPr>
              <w:t>n</w:t>
            </w:r>
            <w:r w:rsidR="00B702AA">
              <w:rPr>
                <w:rFonts w:eastAsia="Arial" w:cs="Arial"/>
              </w:rPr>
              <w:t>il</w:t>
            </w:r>
          </w:p>
        </w:tc>
      </w:tr>
      <w:tr w:rsidR="00B702AA" w14:paraId="11BED709" w14:textId="77777777" w:rsidTr="00661D8A">
        <w:trPr>
          <w:trHeight w:val="20"/>
        </w:trPr>
        <w:tc>
          <w:tcPr>
            <w:tcW w:w="318" w:type="pct"/>
          </w:tcPr>
          <w:p w14:paraId="513FA670" w14:textId="77777777" w:rsidR="00B702AA" w:rsidRPr="00A92734" w:rsidRDefault="00B702AA" w:rsidP="00B9578F">
            <w:pPr>
              <w:pStyle w:val="TableText"/>
              <w:spacing w:before="0" w:after="120"/>
              <w:rPr>
                <w:b/>
                <w:bCs/>
              </w:rPr>
            </w:pPr>
            <w:r w:rsidRPr="00A92734">
              <w:rPr>
                <w:b/>
                <w:bCs/>
              </w:rPr>
              <w:t>G</w:t>
            </w:r>
          </w:p>
        </w:tc>
        <w:tc>
          <w:tcPr>
            <w:tcW w:w="2134" w:type="pct"/>
          </w:tcPr>
          <w:p w14:paraId="11E0FC98" w14:textId="77777777" w:rsidR="00B702AA" w:rsidRPr="00A92734" w:rsidRDefault="00B702AA" w:rsidP="00B9578F">
            <w:pPr>
              <w:pStyle w:val="TableText"/>
              <w:spacing w:before="0" w:after="120"/>
              <w:rPr>
                <w:b/>
                <w:bCs/>
              </w:rPr>
            </w:pPr>
            <w:r w:rsidRPr="00A92734">
              <w:rPr>
                <w:b/>
                <w:bCs/>
              </w:rPr>
              <w:t>Total available funds: G = D + E + F</w:t>
            </w:r>
          </w:p>
        </w:tc>
        <w:tc>
          <w:tcPr>
            <w:tcW w:w="1251" w:type="pct"/>
          </w:tcPr>
          <w:p w14:paraId="7F4707E4" w14:textId="1609F417" w:rsidR="00B702AA" w:rsidRPr="0098023B" w:rsidRDefault="00B702AA" w:rsidP="00B9578F">
            <w:pPr>
              <w:spacing w:after="120"/>
              <w:jc w:val="right"/>
              <w:rPr>
                <w:b/>
                <w:bCs/>
              </w:rPr>
            </w:pPr>
            <w:r w:rsidRPr="0098023B">
              <w:rPr>
                <w:rFonts w:eastAsia="Arial" w:cs="Arial"/>
                <w:b/>
                <w:bCs/>
              </w:rPr>
              <w:t>$</w:t>
            </w:r>
            <w:r w:rsidR="00081A64">
              <w:rPr>
                <w:rFonts w:eastAsia="Arial" w:cs="Arial"/>
                <w:b/>
                <w:bCs/>
              </w:rPr>
              <w:t>10</w:t>
            </w:r>
            <w:r w:rsidR="001159E6">
              <w:rPr>
                <w:rFonts w:eastAsia="Arial" w:cs="Arial"/>
                <w:b/>
                <w:bCs/>
              </w:rPr>
              <w:t>,</w:t>
            </w:r>
            <w:r w:rsidR="00081A64">
              <w:rPr>
                <w:rFonts w:eastAsia="Arial" w:cs="Arial"/>
                <w:b/>
                <w:bCs/>
              </w:rPr>
              <w:t>7</w:t>
            </w:r>
            <w:r w:rsidR="001159E6">
              <w:rPr>
                <w:rFonts w:eastAsia="Arial" w:cs="Arial"/>
                <w:b/>
                <w:bCs/>
              </w:rPr>
              <w:t>5</w:t>
            </w:r>
            <w:r w:rsidRPr="0098023B">
              <w:rPr>
                <w:rFonts w:eastAsia="Arial" w:cs="Arial"/>
                <w:b/>
                <w:bCs/>
              </w:rPr>
              <w:t>6,000</w:t>
            </w:r>
          </w:p>
        </w:tc>
        <w:tc>
          <w:tcPr>
            <w:tcW w:w="1297" w:type="pct"/>
          </w:tcPr>
          <w:p w14:paraId="6306AA44" w14:textId="219396C6" w:rsidR="00B702AA" w:rsidRPr="0098023B" w:rsidRDefault="00B702AA" w:rsidP="00B9578F">
            <w:pPr>
              <w:spacing w:after="120"/>
              <w:jc w:val="right"/>
              <w:rPr>
                <w:b/>
                <w:bCs/>
              </w:rPr>
            </w:pPr>
            <w:r w:rsidRPr="0098023B">
              <w:rPr>
                <w:rFonts w:eastAsia="Arial" w:cs="Arial"/>
                <w:b/>
                <w:bCs/>
              </w:rPr>
              <w:t>$</w:t>
            </w:r>
            <w:r w:rsidR="00081A64">
              <w:rPr>
                <w:rFonts w:eastAsia="Arial" w:cs="Arial"/>
                <w:b/>
                <w:bCs/>
              </w:rPr>
              <w:t>12</w:t>
            </w:r>
            <w:r w:rsidR="001159E6">
              <w:rPr>
                <w:rFonts w:eastAsia="Arial" w:cs="Arial"/>
                <w:b/>
                <w:bCs/>
              </w:rPr>
              <w:t>,</w:t>
            </w:r>
            <w:r w:rsidR="00081A64">
              <w:rPr>
                <w:rFonts w:eastAsia="Arial" w:cs="Arial"/>
                <w:b/>
                <w:bCs/>
              </w:rPr>
              <w:t>136</w:t>
            </w:r>
            <w:r w:rsidRPr="0098023B">
              <w:rPr>
                <w:rFonts w:eastAsia="Arial" w:cs="Arial"/>
                <w:b/>
                <w:bCs/>
              </w:rPr>
              <w:t>,000</w:t>
            </w:r>
          </w:p>
        </w:tc>
      </w:tr>
    </w:tbl>
    <w:p w14:paraId="19DCEDA7" w14:textId="097DE753" w:rsidR="00472735" w:rsidRDefault="00BD57D0" w:rsidP="001D45DE">
      <w:pPr>
        <w:pStyle w:val="TextJustified"/>
        <w:numPr>
          <w:ilvl w:val="0"/>
          <w:numId w:val="20"/>
        </w:numPr>
        <w:spacing w:before="120" w:after="0"/>
        <w:rPr>
          <w:sz w:val="16"/>
          <w:szCs w:val="16"/>
        </w:rPr>
      </w:pPr>
      <w:r w:rsidRPr="00BD57D0">
        <w:rPr>
          <w:sz w:val="16"/>
          <w:szCs w:val="16"/>
        </w:rPr>
        <w:t xml:space="preserve">The </w:t>
      </w:r>
      <w:r>
        <w:rPr>
          <w:sz w:val="16"/>
          <w:szCs w:val="16"/>
        </w:rPr>
        <w:t>Company</w:t>
      </w:r>
      <w:r w:rsidRPr="00BD57D0">
        <w:rPr>
          <w:sz w:val="16"/>
          <w:szCs w:val="16"/>
        </w:rPr>
        <w:t xml:space="preserve"> shall pay the Agent</w:t>
      </w:r>
      <w:r>
        <w:rPr>
          <w:sz w:val="16"/>
          <w:szCs w:val="16"/>
        </w:rPr>
        <w:t>s</w:t>
      </w:r>
      <w:r w:rsidRPr="00BD57D0">
        <w:rPr>
          <w:sz w:val="16"/>
          <w:szCs w:val="16"/>
        </w:rPr>
        <w:t xml:space="preserve"> a cash commission of </w:t>
      </w:r>
      <w:r w:rsidR="00087F21">
        <w:rPr>
          <w:sz w:val="16"/>
          <w:szCs w:val="16"/>
        </w:rPr>
        <w:t>8</w:t>
      </w:r>
      <w:r w:rsidRPr="00BD57D0">
        <w:rPr>
          <w:sz w:val="16"/>
          <w:szCs w:val="16"/>
        </w:rPr>
        <w:t xml:space="preserve">% of the gross proceeds of the Offering, except that, with respect to sales of </w:t>
      </w:r>
      <w:r>
        <w:rPr>
          <w:sz w:val="16"/>
          <w:szCs w:val="16"/>
        </w:rPr>
        <w:t>Placement Units</w:t>
      </w:r>
      <w:r w:rsidRPr="00BD57D0">
        <w:rPr>
          <w:sz w:val="16"/>
          <w:szCs w:val="16"/>
        </w:rPr>
        <w:t xml:space="preserve"> to certain persons on the </w:t>
      </w:r>
      <w:r>
        <w:rPr>
          <w:sz w:val="16"/>
          <w:szCs w:val="16"/>
        </w:rPr>
        <w:t>Company’s</w:t>
      </w:r>
      <w:r w:rsidRPr="00BD57D0">
        <w:rPr>
          <w:sz w:val="16"/>
          <w:szCs w:val="16"/>
        </w:rPr>
        <w:t xml:space="preserve"> “President’s List”, the Agent</w:t>
      </w:r>
      <w:r>
        <w:rPr>
          <w:sz w:val="16"/>
          <w:szCs w:val="16"/>
        </w:rPr>
        <w:t>s</w:t>
      </w:r>
      <w:r w:rsidRPr="00BD57D0">
        <w:rPr>
          <w:sz w:val="16"/>
          <w:szCs w:val="16"/>
        </w:rPr>
        <w:t xml:space="preserve"> will receive a cash commission equal to </w:t>
      </w:r>
      <w:r>
        <w:rPr>
          <w:sz w:val="16"/>
          <w:szCs w:val="16"/>
        </w:rPr>
        <w:t>3</w:t>
      </w:r>
      <w:r w:rsidRPr="00BD57D0">
        <w:rPr>
          <w:sz w:val="16"/>
          <w:szCs w:val="16"/>
        </w:rPr>
        <w:t>%.</w:t>
      </w:r>
    </w:p>
    <w:p w14:paraId="54A85C55" w14:textId="31AE1342" w:rsidR="00B702AA" w:rsidRDefault="00B702AA" w:rsidP="00B702AA">
      <w:pPr>
        <w:pStyle w:val="TextJustified"/>
        <w:numPr>
          <w:ilvl w:val="0"/>
          <w:numId w:val="20"/>
        </w:numPr>
        <w:spacing w:before="120" w:after="0"/>
        <w:rPr>
          <w:sz w:val="16"/>
          <w:szCs w:val="16"/>
        </w:rPr>
      </w:pPr>
      <w:r>
        <w:rPr>
          <w:sz w:val="16"/>
          <w:szCs w:val="16"/>
        </w:rPr>
        <w:t>A</w:t>
      </w:r>
      <w:r w:rsidRPr="0033169F">
        <w:rPr>
          <w:sz w:val="16"/>
          <w:szCs w:val="16"/>
        </w:rPr>
        <w:t xml:space="preserve">s at </w:t>
      </w:r>
      <w:r w:rsidR="001159E6">
        <w:rPr>
          <w:sz w:val="16"/>
          <w:szCs w:val="16"/>
        </w:rPr>
        <w:t>January 31</w:t>
      </w:r>
      <w:r w:rsidRPr="0033169F">
        <w:rPr>
          <w:sz w:val="16"/>
          <w:szCs w:val="16"/>
        </w:rPr>
        <w:t>, 202</w:t>
      </w:r>
      <w:r w:rsidR="001159E6">
        <w:rPr>
          <w:sz w:val="16"/>
          <w:szCs w:val="16"/>
        </w:rPr>
        <w:t>6</w:t>
      </w:r>
      <w:r>
        <w:rPr>
          <w:sz w:val="16"/>
          <w:szCs w:val="16"/>
        </w:rPr>
        <w:t>.</w:t>
      </w:r>
    </w:p>
    <w:p w14:paraId="5E02DE44" w14:textId="77777777" w:rsidR="00BD57D0" w:rsidRPr="00BD57D0" w:rsidRDefault="00BD57D0" w:rsidP="00BD57D0">
      <w:pPr>
        <w:pStyle w:val="TextJustified"/>
        <w:spacing w:after="0"/>
        <w:ind w:left="720"/>
        <w:rPr>
          <w:sz w:val="16"/>
          <w:szCs w:val="16"/>
        </w:rPr>
      </w:pPr>
    </w:p>
    <w:p w14:paraId="4B95D6BD" w14:textId="77777777" w:rsidR="00472735" w:rsidRDefault="00472735" w:rsidP="00472735">
      <w:pPr>
        <w:pStyle w:val="Subtitle"/>
      </w:pPr>
      <w:r>
        <w:t xml:space="preserve">How will we use the available funds? </w:t>
      </w:r>
    </w:p>
    <w:tbl>
      <w:tblPr>
        <w:tblStyle w:val="TableGrid"/>
        <w:tblW w:w="5000" w:type="pct"/>
        <w:tblLook w:val="04A0" w:firstRow="1" w:lastRow="0" w:firstColumn="1" w:lastColumn="0" w:noHBand="0" w:noVBand="1"/>
      </w:tblPr>
      <w:tblGrid>
        <w:gridCol w:w="4586"/>
        <w:gridCol w:w="2339"/>
        <w:gridCol w:w="2425"/>
      </w:tblGrid>
      <w:tr w:rsidR="00661D8A" w14:paraId="3EDD4D0E" w14:textId="7B827B66" w:rsidTr="0098023B">
        <w:tc>
          <w:tcPr>
            <w:tcW w:w="2452" w:type="pct"/>
            <w:shd w:val="clear" w:color="auto" w:fill="D9D9D9" w:themeFill="background1" w:themeFillShade="D9"/>
          </w:tcPr>
          <w:p w14:paraId="4E5BFDE8" w14:textId="77777777" w:rsidR="00661D8A" w:rsidRDefault="00661D8A" w:rsidP="00BD57D0">
            <w:pPr>
              <w:pStyle w:val="TableText"/>
              <w:spacing w:line="240" w:lineRule="auto"/>
              <w:rPr>
                <w:b/>
                <w:bCs/>
              </w:rPr>
            </w:pPr>
            <w:r>
              <w:rPr>
                <w:b/>
                <w:bCs/>
              </w:rPr>
              <w:t>Description of intended use of available funds listed in order of priority</w:t>
            </w:r>
          </w:p>
        </w:tc>
        <w:tc>
          <w:tcPr>
            <w:tcW w:w="1251" w:type="pct"/>
            <w:shd w:val="clear" w:color="auto" w:fill="D9D9D9" w:themeFill="background1" w:themeFillShade="D9"/>
          </w:tcPr>
          <w:p w14:paraId="6AB499C8" w14:textId="6686DA17" w:rsidR="00661D8A" w:rsidRDefault="00661D8A" w:rsidP="00BD57D0">
            <w:pPr>
              <w:pStyle w:val="TableText"/>
              <w:spacing w:line="240" w:lineRule="auto"/>
              <w:jc w:val="center"/>
              <w:rPr>
                <w:b/>
                <w:bCs/>
              </w:rPr>
            </w:pPr>
            <w:r>
              <w:rPr>
                <w:b/>
                <w:bCs/>
              </w:rPr>
              <w:t>Assuming 100% of the Offering</w:t>
            </w:r>
          </w:p>
        </w:tc>
        <w:tc>
          <w:tcPr>
            <w:tcW w:w="1297" w:type="pct"/>
            <w:shd w:val="clear" w:color="auto" w:fill="D9D9D9" w:themeFill="background1" w:themeFillShade="D9"/>
          </w:tcPr>
          <w:p w14:paraId="3A2880AD" w14:textId="1829BC74" w:rsidR="00661D8A" w:rsidRDefault="00661D8A" w:rsidP="00BD57D0">
            <w:pPr>
              <w:pStyle w:val="TableText"/>
              <w:spacing w:line="240" w:lineRule="auto"/>
              <w:jc w:val="center"/>
              <w:rPr>
                <w:b/>
                <w:bCs/>
              </w:rPr>
            </w:pPr>
            <w:r>
              <w:rPr>
                <w:b/>
                <w:bCs/>
              </w:rPr>
              <w:t>Assuming 100% of the Maximum Offering</w:t>
            </w:r>
          </w:p>
        </w:tc>
      </w:tr>
      <w:tr w:rsidR="00661D8A" w:rsidRPr="00B002F8" w14:paraId="0B1FBE47" w14:textId="3BB6BF3D" w:rsidTr="00661D8A">
        <w:tc>
          <w:tcPr>
            <w:tcW w:w="2452" w:type="pct"/>
          </w:tcPr>
          <w:p w14:paraId="4AE1F49E" w14:textId="5687741C" w:rsidR="00661D8A" w:rsidRPr="00B002F8" w:rsidRDefault="00661D8A" w:rsidP="001D45DE">
            <w:pPr>
              <w:spacing w:before="60" w:after="120"/>
            </w:pPr>
            <w:r>
              <w:t>BED-1 Vertical Well</w:t>
            </w:r>
          </w:p>
        </w:tc>
        <w:tc>
          <w:tcPr>
            <w:tcW w:w="1251" w:type="pct"/>
          </w:tcPr>
          <w:p w14:paraId="1BE57EEB" w14:textId="58D6BA93" w:rsidR="00661D8A" w:rsidRDefault="00661D8A" w:rsidP="001D45DE">
            <w:pPr>
              <w:spacing w:before="60" w:after="120" w:line="240" w:lineRule="auto"/>
              <w:jc w:val="right"/>
              <w:rPr>
                <w:rFonts w:eastAsia="Times New Roman" w:cs="Arial"/>
                <w:color w:val="000000"/>
              </w:rPr>
            </w:pPr>
            <w:r>
              <w:rPr>
                <w:rFonts w:eastAsia="Times New Roman" w:cs="Arial"/>
                <w:color w:val="000000"/>
              </w:rPr>
              <w:t>$</w:t>
            </w:r>
            <w:r w:rsidR="0098023B">
              <w:rPr>
                <w:rFonts w:eastAsia="Times New Roman" w:cs="Arial"/>
                <w:color w:val="000000"/>
              </w:rPr>
              <w:t>4,700,000</w:t>
            </w:r>
          </w:p>
        </w:tc>
        <w:tc>
          <w:tcPr>
            <w:tcW w:w="1297" w:type="pct"/>
          </w:tcPr>
          <w:p w14:paraId="597225C4" w14:textId="0496419E" w:rsidR="00661D8A" w:rsidRPr="00574EAB" w:rsidRDefault="00661D8A" w:rsidP="001D45DE">
            <w:pPr>
              <w:spacing w:before="60" w:after="120" w:line="240" w:lineRule="auto"/>
              <w:jc w:val="right"/>
              <w:rPr>
                <w:rFonts w:eastAsia="Times New Roman" w:cs="Arial"/>
                <w:color w:val="000000"/>
              </w:rPr>
            </w:pPr>
            <w:r>
              <w:rPr>
                <w:rFonts w:eastAsia="Times New Roman" w:cs="Arial"/>
                <w:color w:val="000000"/>
              </w:rPr>
              <w:t>$4,700,000</w:t>
            </w:r>
          </w:p>
        </w:tc>
      </w:tr>
      <w:tr w:rsidR="00661D8A" w:rsidRPr="00B002F8" w14:paraId="7031BC8F" w14:textId="0509257E" w:rsidTr="00661D8A">
        <w:tc>
          <w:tcPr>
            <w:tcW w:w="2452" w:type="pct"/>
          </w:tcPr>
          <w:p w14:paraId="5BD356C0" w14:textId="6C5A913F" w:rsidR="00661D8A" w:rsidRPr="00B002F8" w:rsidRDefault="00661D8A" w:rsidP="001D45DE">
            <w:pPr>
              <w:spacing w:before="60" w:after="120"/>
            </w:pPr>
            <w:r>
              <w:t>SERQ DFIT</w:t>
            </w:r>
          </w:p>
        </w:tc>
        <w:tc>
          <w:tcPr>
            <w:tcW w:w="1251" w:type="pct"/>
          </w:tcPr>
          <w:p w14:paraId="727B447D" w14:textId="1FD69BC6" w:rsidR="00661D8A" w:rsidRDefault="00661D8A" w:rsidP="001D45DE">
            <w:pPr>
              <w:spacing w:before="60" w:after="120" w:line="240" w:lineRule="auto"/>
              <w:jc w:val="right"/>
              <w:rPr>
                <w:rFonts w:eastAsia="Times New Roman" w:cs="Arial"/>
                <w:color w:val="000000"/>
              </w:rPr>
            </w:pPr>
            <w:r w:rsidRPr="00661D8A">
              <w:rPr>
                <w:rFonts w:eastAsia="Times New Roman" w:cs="Arial"/>
                <w:color w:val="000000"/>
              </w:rPr>
              <w:t>$</w:t>
            </w:r>
            <w:r w:rsidR="0098023B">
              <w:rPr>
                <w:rFonts w:eastAsia="Times New Roman" w:cs="Arial"/>
                <w:color w:val="000000"/>
              </w:rPr>
              <w:t>3</w:t>
            </w:r>
            <w:r w:rsidR="00E8355A">
              <w:rPr>
                <w:rFonts w:eastAsia="Times New Roman" w:cs="Arial"/>
                <w:color w:val="000000"/>
              </w:rPr>
              <w:t>0</w:t>
            </w:r>
            <w:r w:rsidR="0098023B">
              <w:rPr>
                <w:rFonts w:eastAsia="Times New Roman" w:cs="Arial"/>
                <w:color w:val="000000"/>
              </w:rPr>
              <w:t>0,000</w:t>
            </w:r>
          </w:p>
        </w:tc>
        <w:tc>
          <w:tcPr>
            <w:tcW w:w="1297" w:type="pct"/>
          </w:tcPr>
          <w:p w14:paraId="55B3DCFD" w14:textId="5BD3D78F" w:rsidR="00661D8A" w:rsidRPr="00574EAB" w:rsidRDefault="00661D8A" w:rsidP="001D45DE">
            <w:pPr>
              <w:spacing w:before="60" w:after="120" w:line="240" w:lineRule="auto"/>
              <w:jc w:val="right"/>
              <w:rPr>
                <w:rFonts w:eastAsia="Times New Roman" w:cs="Arial"/>
                <w:color w:val="000000"/>
              </w:rPr>
            </w:pPr>
            <w:r>
              <w:rPr>
                <w:rFonts w:eastAsia="Times New Roman" w:cs="Arial"/>
                <w:color w:val="000000"/>
              </w:rPr>
              <w:t>$3</w:t>
            </w:r>
            <w:r w:rsidR="00E8355A">
              <w:rPr>
                <w:rFonts w:eastAsia="Times New Roman" w:cs="Arial"/>
                <w:color w:val="000000"/>
              </w:rPr>
              <w:t>0</w:t>
            </w:r>
            <w:r>
              <w:rPr>
                <w:rFonts w:eastAsia="Times New Roman" w:cs="Arial"/>
                <w:color w:val="000000"/>
              </w:rPr>
              <w:t>0,000</w:t>
            </w:r>
          </w:p>
        </w:tc>
      </w:tr>
      <w:tr w:rsidR="00661D8A" w:rsidRPr="00A92734" w14:paraId="67B01CE4" w14:textId="77433EDD" w:rsidTr="00661D8A">
        <w:tc>
          <w:tcPr>
            <w:tcW w:w="2452" w:type="pct"/>
          </w:tcPr>
          <w:p w14:paraId="3F1BB44F" w14:textId="72812ED9" w:rsidR="00661D8A" w:rsidRPr="00A92734" w:rsidRDefault="008012E1" w:rsidP="001D45DE">
            <w:pPr>
              <w:spacing w:before="60" w:after="120"/>
            </w:pPr>
            <w:r>
              <w:t>General</w:t>
            </w:r>
            <w:r w:rsidR="00661D8A" w:rsidRPr="00A92734">
              <w:t xml:space="preserve"> </w:t>
            </w:r>
            <w:r w:rsidR="00661D8A">
              <w:t>corporate purposes</w:t>
            </w:r>
          </w:p>
        </w:tc>
        <w:tc>
          <w:tcPr>
            <w:tcW w:w="1251" w:type="pct"/>
          </w:tcPr>
          <w:p w14:paraId="49E59D2A" w14:textId="44F6FC11" w:rsidR="00661D8A" w:rsidRDefault="00661D8A" w:rsidP="001D45DE">
            <w:pPr>
              <w:spacing w:before="60" w:after="120" w:line="240" w:lineRule="auto"/>
              <w:jc w:val="right"/>
              <w:rPr>
                <w:rFonts w:eastAsia="Times New Roman" w:cs="Arial"/>
                <w:color w:val="000000"/>
              </w:rPr>
            </w:pPr>
            <w:r w:rsidRPr="00661D8A">
              <w:rPr>
                <w:rFonts w:eastAsia="Times New Roman" w:cs="Arial"/>
                <w:color w:val="000000"/>
              </w:rPr>
              <w:t>$</w:t>
            </w:r>
            <w:r w:rsidR="00081A64">
              <w:rPr>
                <w:rFonts w:eastAsia="Times New Roman" w:cs="Arial"/>
                <w:color w:val="000000"/>
              </w:rPr>
              <w:t>5</w:t>
            </w:r>
            <w:r w:rsidR="001159E6">
              <w:rPr>
                <w:rFonts w:eastAsia="Times New Roman" w:cs="Arial"/>
                <w:color w:val="000000"/>
              </w:rPr>
              <w:t>,</w:t>
            </w:r>
            <w:r w:rsidR="00081A64">
              <w:rPr>
                <w:rFonts w:eastAsia="Times New Roman" w:cs="Arial"/>
                <w:color w:val="000000"/>
              </w:rPr>
              <w:t>7</w:t>
            </w:r>
            <w:r w:rsidR="00E8355A">
              <w:rPr>
                <w:rFonts w:eastAsia="Times New Roman" w:cs="Arial"/>
                <w:color w:val="000000"/>
              </w:rPr>
              <w:t>5</w:t>
            </w:r>
            <w:r w:rsidR="0098023B">
              <w:rPr>
                <w:rFonts w:eastAsia="Times New Roman" w:cs="Arial"/>
                <w:color w:val="000000"/>
              </w:rPr>
              <w:t>6,000</w:t>
            </w:r>
          </w:p>
        </w:tc>
        <w:tc>
          <w:tcPr>
            <w:tcW w:w="1297" w:type="pct"/>
          </w:tcPr>
          <w:p w14:paraId="24E10601" w14:textId="31B3C837" w:rsidR="00661D8A" w:rsidRPr="00574EAB" w:rsidRDefault="00661D8A" w:rsidP="001D45DE">
            <w:pPr>
              <w:spacing w:before="60" w:after="120" w:line="240" w:lineRule="auto"/>
              <w:jc w:val="right"/>
              <w:rPr>
                <w:rFonts w:eastAsia="Times New Roman" w:cs="Arial"/>
                <w:color w:val="000000"/>
              </w:rPr>
            </w:pPr>
            <w:r>
              <w:rPr>
                <w:rFonts w:eastAsia="Times New Roman" w:cs="Arial"/>
                <w:color w:val="000000"/>
              </w:rPr>
              <w:t>$</w:t>
            </w:r>
            <w:r w:rsidR="00081A64">
              <w:rPr>
                <w:rFonts w:eastAsia="Times New Roman" w:cs="Arial"/>
                <w:color w:val="000000"/>
              </w:rPr>
              <w:t>7</w:t>
            </w:r>
            <w:r w:rsidR="001159E6">
              <w:rPr>
                <w:rFonts w:eastAsia="Times New Roman" w:cs="Arial"/>
                <w:color w:val="000000"/>
              </w:rPr>
              <w:t>,</w:t>
            </w:r>
            <w:r w:rsidR="00081A64">
              <w:rPr>
                <w:rFonts w:eastAsia="Times New Roman" w:cs="Arial"/>
                <w:color w:val="000000"/>
              </w:rPr>
              <w:t>13</w:t>
            </w:r>
            <w:r w:rsidR="0098023B">
              <w:rPr>
                <w:rFonts w:eastAsia="Times New Roman" w:cs="Arial"/>
                <w:color w:val="000000"/>
              </w:rPr>
              <w:t>6</w:t>
            </w:r>
            <w:r>
              <w:rPr>
                <w:rFonts w:eastAsia="Times New Roman" w:cs="Arial"/>
                <w:color w:val="000000"/>
              </w:rPr>
              <w:t>,000</w:t>
            </w:r>
          </w:p>
        </w:tc>
      </w:tr>
      <w:tr w:rsidR="00661D8A" w14:paraId="0BB663C8" w14:textId="5DF1A0A3" w:rsidTr="00661D8A">
        <w:tc>
          <w:tcPr>
            <w:tcW w:w="2452" w:type="pct"/>
          </w:tcPr>
          <w:p w14:paraId="6A51506F" w14:textId="77777777" w:rsidR="00661D8A" w:rsidRPr="00A92734" w:rsidRDefault="00661D8A" w:rsidP="001D45DE">
            <w:pPr>
              <w:pStyle w:val="TableText"/>
              <w:spacing w:after="120"/>
            </w:pPr>
            <w:r w:rsidRPr="00A92734">
              <w:rPr>
                <w:b/>
                <w:bCs/>
              </w:rPr>
              <w:t>Total</w:t>
            </w:r>
          </w:p>
        </w:tc>
        <w:tc>
          <w:tcPr>
            <w:tcW w:w="1251" w:type="pct"/>
          </w:tcPr>
          <w:p w14:paraId="7888A629" w14:textId="311C3D3F" w:rsidR="00661D8A" w:rsidRDefault="0098023B" w:rsidP="001D45DE">
            <w:pPr>
              <w:spacing w:before="60" w:after="120" w:line="240" w:lineRule="auto"/>
              <w:jc w:val="right"/>
              <w:rPr>
                <w:rFonts w:eastAsia="Times New Roman" w:cs="Arial"/>
                <w:b/>
                <w:bCs/>
                <w:color w:val="000000"/>
              </w:rPr>
            </w:pPr>
            <w:r w:rsidRPr="0098023B">
              <w:rPr>
                <w:rFonts w:eastAsia="Arial" w:cs="Arial"/>
                <w:b/>
                <w:bCs/>
              </w:rPr>
              <w:t>$</w:t>
            </w:r>
            <w:r w:rsidR="00081A64">
              <w:rPr>
                <w:rFonts w:eastAsia="Arial" w:cs="Arial"/>
                <w:b/>
                <w:bCs/>
              </w:rPr>
              <w:t>10</w:t>
            </w:r>
            <w:r w:rsidR="001159E6">
              <w:rPr>
                <w:rFonts w:eastAsia="Arial" w:cs="Arial"/>
                <w:b/>
                <w:bCs/>
              </w:rPr>
              <w:t>,</w:t>
            </w:r>
            <w:r w:rsidR="00081A64">
              <w:rPr>
                <w:rFonts w:eastAsia="Arial" w:cs="Arial"/>
                <w:b/>
                <w:bCs/>
              </w:rPr>
              <w:t>7</w:t>
            </w:r>
            <w:r w:rsidR="001159E6">
              <w:rPr>
                <w:rFonts w:eastAsia="Arial" w:cs="Arial"/>
                <w:b/>
                <w:bCs/>
              </w:rPr>
              <w:t>5</w:t>
            </w:r>
            <w:r w:rsidRPr="0098023B">
              <w:rPr>
                <w:rFonts w:eastAsia="Arial" w:cs="Arial"/>
                <w:b/>
                <w:bCs/>
              </w:rPr>
              <w:t>6,000</w:t>
            </w:r>
          </w:p>
        </w:tc>
        <w:tc>
          <w:tcPr>
            <w:tcW w:w="1297" w:type="pct"/>
          </w:tcPr>
          <w:p w14:paraId="4C87AAF5" w14:textId="3AFAA531" w:rsidR="00661D8A" w:rsidRPr="00574EAB" w:rsidRDefault="00661D8A" w:rsidP="001D45DE">
            <w:pPr>
              <w:spacing w:before="60" w:after="120" w:line="240" w:lineRule="auto"/>
              <w:jc w:val="right"/>
              <w:rPr>
                <w:rFonts w:eastAsia="Times New Roman" w:cs="Arial"/>
                <w:b/>
                <w:bCs/>
                <w:color w:val="000000"/>
              </w:rPr>
            </w:pPr>
            <w:r>
              <w:rPr>
                <w:rFonts w:eastAsia="Times New Roman" w:cs="Arial"/>
                <w:b/>
                <w:bCs/>
                <w:color w:val="000000"/>
              </w:rPr>
              <w:t>$</w:t>
            </w:r>
            <w:r w:rsidR="00081A64">
              <w:rPr>
                <w:rFonts w:eastAsia="Times New Roman" w:cs="Arial"/>
                <w:b/>
                <w:bCs/>
                <w:color w:val="000000"/>
              </w:rPr>
              <w:t>12</w:t>
            </w:r>
            <w:r w:rsidR="001159E6">
              <w:rPr>
                <w:rFonts w:eastAsia="Times New Roman" w:cs="Arial"/>
                <w:b/>
                <w:bCs/>
                <w:color w:val="000000"/>
              </w:rPr>
              <w:t>,</w:t>
            </w:r>
            <w:r w:rsidR="00081A64">
              <w:rPr>
                <w:rFonts w:eastAsia="Times New Roman" w:cs="Arial"/>
                <w:b/>
                <w:bCs/>
                <w:color w:val="000000"/>
              </w:rPr>
              <w:t>13</w:t>
            </w:r>
            <w:r>
              <w:rPr>
                <w:rFonts w:eastAsia="Times New Roman" w:cs="Arial"/>
                <w:b/>
                <w:bCs/>
                <w:color w:val="000000"/>
              </w:rPr>
              <w:t>6,000</w:t>
            </w:r>
          </w:p>
        </w:tc>
      </w:tr>
    </w:tbl>
    <w:p w14:paraId="6F1E9CE9" w14:textId="6983AA98" w:rsidR="00472735" w:rsidRDefault="00472735" w:rsidP="00472735">
      <w:pPr>
        <w:pStyle w:val="TextJustified"/>
        <w:spacing w:before="240"/>
      </w:pPr>
      <w:r>
        <w:lastRenderedPageBreak/>
        <w:t>The above-noted allocation of capital and anticipated timing represents the Company’s current intentions based upon its present plans and business condition, which could change in the future as its plans and business conditions evolve. Although the Company intends to expend the proceeds from the Offering as set forth above, there may be circumstances where, for sound business reasons, a reallocation of funds may be deemed prudent or necessary and may vary materially from that set forth above, as the amounts actually allocated and spent will depend on a number of factors, including the Company’s ability to execute on its business plan. See the “</w:t>
      </w:r>
      <w:r>
        <w:rPr>
          <w:i/>
          <w:iCs/>
        </w:rPr>
        <w:t>Cautionary Statement Regarding Forward-Looking Information</w:t>
      </w:r>
      <w:r>
        <w:t>” section above.</w:t>
      </w:r>
    </w:p>
    <w:p w14:paraId="04768BC3" w14:textId="77777777" w:rsidR="00472735" w:rsidRDefault="00472735" w:rsidP="00472735">
      <w:pPr>
        <w:pStyle w:val="Subtitle"/>
        <w:tabs>
          <w:tab w:val="left" w:pos="7290"/>
        </w:tabs>
      </w:pPr>
      <w:r>
        <w:t>How have we used the other funds we have raised in the past 12 months?</w:t>
      </w:r>
    </w:p>
    <w:p w14:paraId="52DC67B8" w14:textId="6124B574" w:rsidR="00472735" w:rsidRPr="00472735" w:rsidRDefault="00472735" w:rsidP="00BD57D0">
      <w:pPr>
        <w:pStyle w:val="TextJustified"/>
        <w:rPr>
          <w:rFonts w:eastAsia="Arial" w:cs="Arial"/>
        </w:rPr>
      </w:pPr>
      <w:r w:rsidRPr="00472735">
        <w:t>In</w:t>
      </w:r>
      <w:r w:rsidRPr="00472735">
        <w:rPr>
          <w:b/>
          <w:bCs/>
        </w:rPr>
        <w:t xml:space="preserve"> </w:t>
      </w:r>
      <w:r w:rsidRPr="00472735">
        <w:rPr>
          <w:rFonts w:eastAsia="Arial" w:cs="Arial"/>
        </w:rPr>
        <w:t xml:space="preserve">the past 12 months, the Company </w:t>
      </w:r>
      <w:r w:rsidR="001D45DE">
        <w:rPr>
          <w:rFonts w:eastAsia="Arial" w:cs="Arial"/>
        </w:rPr>
        <w:t xml:space="preserve">did not raise funds.  </w:t>
      </w:r>
    </w:p>
    <w:p w14:paraId="0E2458B2" w14:textId="77777777" w:rsidR="00472735" w:rsidRDefault="00472735" w:rsidP="00472735">
      <w:pPr>
        <w:pStyle w:val="Subtitle"/>
        <w:numPr>
          <w:ilvl w:val="0"/>
          <w:numId w:val="0"/>
        </w:numPr>
        <w:spacing w:before="240"/>
        <w:jc w:val="center"/>
      </w:pPr>
      <w:r>
        <w:t>FEES AND COMMISSIONS</w:t>
      </w:r>
    </w:p>
    <w:p w14:paraId="7824327D" w14:textId="77777777" w:rsidR="00BD57D0" w:rsidRDefault="00BD57D0" w:rsidP="00BD57D0">
      <w:pPr>
        <w:spacing w:before="1"/>
        <w:ind w:left="140" w:right="119"/>
        <w:rPr>
          <w:b/>
        </w:rPr>
      </w:pPr>
      <w:r>
        <w:rPr>
          <w:b/>
        </w:rPr>
        <w:t>Who</w:t>
      </w:r>
      <w:r>
        <w:rPr>
          <w:b/>
          <w:spacing w:val="-1"/>
        </w:rPr>
        <w:t xml:space="preserve"> </w:t>
      </w:r>
      <w:r>
        <w:rPr>
          <w:b/>
        </w:rPr>
        <w:t>are</w:t>
      </w:r>
      <w:r>
        <w:rPr>
          <w:b/>
          <w:spacing w:val="-2"/>
        </w:rPr>
        <w:t xml:space="preserve"> </w:t>
      </w:r>
      <w:r>
        <w:rPr>
          <w:b/>
        </w:rPr>
        <w:t>the</w:t>
      </w:r>
      <w:r>
        <w:rPr>
          <w:b/>
          <w:spacing w:val="-2"/>
        </w:rPr>
        <w:t xml:space="preserve"> </w:t>
      </w:r>
      <w:r>
        <w:rPr>
          <w:b/>
        </w:rPr>
        <w:t>dealers</w:t>
      </w:r>
      <w:r>
        <w:rPr>
          <w:b/>
          <w:spacing w:val="-3"/>
        </w:rPr>
        <w:t xml:space="preserve"> </w:t>
      </w:r>
      <w:r>
        <w:rPr>
          <w:b/>
        </w:rPr>
        <w:t>or</w:t>
      </w:r>
      <w:r>
        <w:rPr>
          <w:b/>
          <w:spacing w:val="-2"/>
        </w:rPr>
        <w:t xml:space="preserve"> </w:t>
      </w:r>
      <w:r>
        <w:rPr>
          <w:b/>
        </w:rPr>
        <w:t>finders</w:t>
      </w:r>
      <w:r>
        <w:rPr>
          <w:b/>
          <w:spacing w:val="-3"/>
        </w:rPr>
        <w:t xml:space="preserve"> </w:t>
      </w:r>
      <w:r>
        <w:rPr>
          <w:b/>
        </w:rPr>
        <w:t>that</w:t>
      </w:r>
      <w:r>
        <w:rPr>
          <w:b/>
          <w:spacing w:val="-1"/>
        </w:rPr>
        <w:t xml:space="preserve"> </w:t>
      </w:r>
      <w:r>
        <w:rPr>
          <w:b/>
        </w:rPr>
        <w:t>we</w:t>
      </w:r>
      <w:r>
        <w:rPr>
          <w:b/>
          <w:spacing w:val="-2"/>
        </w:rPr>
        <w:t xml:space="preserve"> </w:t>
      </w:r>
      <w:r>
        <w:rPr>
          <w:b/>
        </w:rPr>
        <w:t>have</w:t>
      </w:r>
      <w:r>
        <w:rPr>
          <w:b/>
          <w:spacing w:val="-2"/>
        </w:rPr>
        <w:t xml:space="preserve"> </w:t>
      </w:r>
      <w:r>
        <w:rPr>
          <w:b/>
        </w:rPr>
        <w:t>engaged</w:t>
      </w:r>
      <w:r>
        <w:rPr>
          <w:b/>
          <w:spacing w:val="-3"/>
        </w:rPr>
        <w:t xml:space="preserve"> </w:t>
      </w:r>
      <w:r>
        <w:rPr>
          <w:b/>
        </w:rPr>
        <w:t>in</w:t>
      </w:r>
      <w:r>
        <w:rPr>
          <w:b/>
          <w:spacing w:val="-3"/>
        </w:rPr>
        <w:t xml:space="preserve"> </w:t>
      </w:r>
      <w:r>
        <w:rPr>
          <w:b/>
        </w:rPr>
        <w:t>connection</w:t>
      </w:r>
      <w:r>
        <w:rPr>
          <w:b/>
          <w:spacing w:val="-3"/>
        </w:rPr>
        <w:t xml:space="preserve"> </w:t>
      </w:r>
      <w:r>
        <w:rPr>
          <w:b/>
        </w:rPr>
        <w:t>with</w:t>
      </w:r>
      <w:r>
        <w:rPr>
          <w:b/>
          <w:spacing w:val="-3"/>
        </w:rPr>
        <w:t xml:space="preserve"> </w:t>
      </w:r>
      <w:r>
        <w:rPr>
          <w:b/>
        </w:rPr>
        <w:t>this</w:t>
      </w:r>
      <w:r>
        <w:rPr>
          <w:b/>
          <w:spacing w:val="-3"/>
        </w:rPr>
        <w:t xml:space="preserve"> </w:t>
      </w:r>
      <w:r>
        <w:rPr>
          <w:b/>
        </w:rPr>
        <w:t>Offering,</w:t>
      </w:r>
      <w:r>
        <w:rPr>
          <w:b/>
          <w:spacing w:val="-1"/>
        </w:rPr>
        <w:t xml:space="preserve"> </w:t>
      </w:r>
      <w:r>
        <w:rPr>
          <w:b/>
        </w:rPr>
        <w:t>if</w:t>
      </w:r>
      <w:r>
        <w:rPr>
          <w:b/>
          <w:spacing w:val="-1"/>
        </w:rPr>
        <w:t xml:space="preserve"> </w:t>
      </w:r>
      <w:r>
        <w:rPr>
          <w:b/>
        </w:rPr>
        <w:t>any,</w:t>
      </w:r>
      <w:r>
        <w:rPr>
          <w:b/>
          <w:spacing w:val="-1"/>
        </w:rPr>
        <w:t xml:space="preserve"> </w:t>
      </w:r>
      <w:r>
        <w:rPr>
          <w:b/>
        </w:rPr>
        <w:t>and</w:t>
      </w:r>
      <w:r>
        <w:rPr>
          <w:b/>
          <w:spacing w:val="-3"/>
        </w:rPr>
        <w:t xml:space="preserve"> </w:t>
      </w:r>
      <w:r>
        <w:rPr>
          <w:b/>
        </w:rPr>
        <w:t>what</w:t>
      </w:r>
      <w:r>
        <w:rPr>
          <w:b/>
          <w:spacing w:val="-1"/>
        </w:rPr>
        <w:t xml:space="preserve"> </w:t>
      </w:r>
      <w:r>
        <w:rPr>
          <w:b/>
        </w:rPr>
        <w:t>are their fees?</w:t>
      </w:r>
      <w:bookmarkStart w:id="4" w:name="Does_the_Underwriter_have_a_conflict_of_"/>
      <w:bookmarkEnd w:id="4"/>
    </w:p>
    <w:p w14:paraId="1FB1EADC" w14:textId="77777777" w:rsidR="00BD57D0" w:rsidRDefault="00BD57D0" w:rsidP="00BD57D0">
      <w:pPr>
        <w:spacing w:before="1"/>
        <w:ind w:left="140" w:right="119"/>
        <w:rPr>
          <w:b/>
        </w:rPr>
      </w:pPr>
    </w:p>
    <w:tbl>
      <w:tblPr>
        <w:tblStyle w:val="TableGrid"/>
        <w:tblW w:w="0" w:type="auto"/>
        <w:tblInd w:w="140" w:type="dxa"/>
        <w:tblLook w:val="04A0" w:firstRow="1" w:lastRow="0" w:firstColumn="1" w:lastColumn="0" w:noHBand="0" w:noVBand="1"/>
      </w:tblPr>
      <w:tblGrid>
        <w:gridCol w:w="2264"/>
        <w:gridCol w:w="6946"/>
      </w:tblGrid>
      <w:tr w:rsidR="00BD57D0" w:rsidRPr="008D4F6F" w14:paraId="6194B7C0" w14:textId="77777777" w:rsidTr="00BD57D0">
        <w:tc>
          <w:tcPr>
            <w:tcW w:w="2264" w:type="dxa"/>
          </w:tcPr>
          <w:p w14:paraId="078BC0BC" w14:textId="7BF125D2" w:rsidR="00BD57D0" w:rsidRPr="008D4F6F" w:rsidRDefault="00BD57D0" w:rsidP="0072679D">
            <w:pPr>
              <w:spacing w:before="60" w:after="120"/>
              <w:ind w:left="144" w:right="115"/>
              <w:jc w:val="both"/>
              <w:rPr>
                <w:b/>
                <w:bCs/>
              </w:rPr>
            </w:pPr>
            <w:r>
              <w:rPr>
                <w:b/>
                <w:bCs/>
              </w:rPr>
              <w:t>Agents</w:t>
            </w:r>
            <w:r w:rsidRPr="008D4F6F">
              <w:rPr>
                <w:b/>
                <w:bCs/>
              </w:rPr>
              <w:t>:</w:t>
            </w:r>
          </w:p>
        </w:tc>
        <w:tc>
          <w:tcPr>
            <w:tcW w:w="6946" w:type="dxa"/>
          </w:tcPr>
          <w:p w14:paraId="176D925D" w14:textId="546D9392" w:rsidR="00BD57D0" w:rsidRPr="008D4F6F" w:rsidRDefault="00BD57D0" w:rsidP="0072679D">
            <w:pPr>
              <w:spacing w:before="60" w:after="120"/>
              <w:ind w:left="144" w:right="115"/>
              <w:jc w:val="both"/>
              <w:rPr>
                <w:bCs/>
              </w:rPr>
            </w:pPr>
            <w:r>
              <w:rPr>
                <w:bCs/>
              </w:rPr>
              <w:t>Research Capital Corporation</w:t>
            </w:r>
            <w:r w:rsidRPr="008D4F6F">
              <w:rPr>
                <w:bCs/>
              </w:rPr>
              <w:t xml:space="preserve"> as lead </w:t>
            </w:r>
            <w:r>
              <w:rPr>
                <w:bCs/>
              </w:rPr>
              <w:t>agent</w:t>
            </w:r>
            <w:r w:rsidRPr="008D4F6F">
              <w:rPr>
                <w:bCs/>
              </w:rPr>
              <w:t xml:space="preserve"> and sole bookrunner on behalf of a syndicate of </w:t>
            </w:r>
            <w:r w:rsidR="00547FC9">
              <w:rPr>
                <w:bCs/>
              </w:rPr>
              <w:t>agents</w:t>
            </w:r>
            <w:r w:rsidR="004B4A02">
              <w:rPr>
                <w:bCs/>
              </w:rPr>
              <w:t>, including Zeus Capital Ltd.</w:t>
            </w:r>
          </w:p>
        </w:tc>
      </w:tr>
      <w:tr w:rsidR="00BD57D0" w:rsidRPr="008D4F6F" w14:paraId="2565D24C" w14:textId="77777777" w:rsidTr="00BD57D0">
        <w:tc>
          <w:tcPr>
            <w:tcW w:w="2264" w:type="dxa"/>
          </w:tcPr>
          <w:p w14:paraId="215A22E9" w14:textId="77777777" w:rsidR="00BD57D0" w:rsidRPr="008D4F6F" w:rsidRDefault="00BD57D0" w:rsidP="0072679D">
            <w:pPr>
              <w:spacing w:before="60" w:after="120"/>
              <w:ind w:left="144" w:right="115"/>
              <w:jc w:val="both"/>
              <w:rPr>
                <w:b/>
                <w:bCs/>
              </w:rPr>
            </w:pPr>
            <w:r w:rsidRPr="008D4F6F">
              <w:rPr>
                <w:b/>
                <w:bCs/>
              </w:rPr>
              <w:t>Compensation Type:</w:t>
            </w:r>
          </w:p>
        </w:tc>
        <w:tc>
          <w:tcPr>
            <w:tcW w:w="6946" w:type="dxa"/>
          </w:tcPr>
          <w:p w14:paraId="19F9F62D" w14:textId="1A1F14CF" w:rsidR="00BD57D0" w:rsidRPr="008D4F6F" w:rsidRDefault="00BD57D0" w:rsidP="0072679D">
            <w:pPr>
              <w:spacing w:before="60" w:after="120"/>
              <w:ind w:left="144" w:right="115"/>
              <w:jc w:val="both"/>
              <w:rPr>
                <w:bCs/>
              </w:rPr>
            </w:pPr>
            <w:r w:rsidRPr="008D4F6F">
              <w:rPr>
                <w:bCs/>
              </w:rPr>
              <w:t>Cash fee</w:t>
            </w:r>
            <w:r>
              <w:rPr>
                <w:bCs/>
              </w:rPr>
              <w:t xml:space="preserve"> and Agent Warrants</w:t>
            </w:r>
            <w:r w:rsidRPr="008D4F6F">
              <w:rPr>
                <w:bCs/>
              </w:rPr>
              <w:t>.</w:t>
            </w:r>
          </w:p>
        </w:tc>
      </w:tr>
    </w:tbl>
    <w:p w14:paraId="25ACA223" w14:textId="77777777" w:rsidR="00BD57D0" w:rsidRDefault="00BD57D0" w:rsidP="00BD57D0">
      <w:pPr>
        <w:spacing w:before="1"/>
        <w:ind w:right="119"/>
        <w:jc w:val="both"/>
        <w:rPr>
          <w:bCs/>
        </w:rPr>
      </w:pPr>
    </w:p>
    <w:p w14:paraId="236EE1AA" w14:textId="02254DB9" w:rsidR="00BD57D0" w:rsidRDefault="00BD57D0" w:rsidP="00BD57D0">
      <w:pPr>
        <w:spacing w:before="1"/>
        <w:ind w:left="140" w:right="119"/>
        <w:jc w:val="both"/>
        <w:rPr>
          <w:bCs/>
        </w:rPr>
      </w:pPr>
      <w:r w:rsidRPr="00BD57D0">
        <w:rPr>
          <w:bCs/>
        </w:rPr>
        <w:t xml:space="preserve">Under the </w:t>
      </w:r>
      <w:r>
        <w:rPr>
          <w:bCs/>
        </w:rPr>
        <w:t>Engagement Let</w:t>
      </w:r>
      <w:r w:rsidRPr="00BD57D0">
        <w:rPr>
          <w:bCs/>
        </w:rPr>
        <w:t>t</w:t>
      </w:r>
      <w:r>
        <w:rPr>
          <w:bCs/>
        </w:rPr>
        <w:t>er</w:t>
      </w:r>
      <w:r w:rsidRPr="00BD57D0">
        <w:rPr>
          <w:bCs/>
        </w:rPr>
        <w:t>, the Agent</w:t>
      </w:r>
      <w:r>
        <w:rPr>
          <w:bCs/>
        </w:rPr>
        <w:t>s</w:t>
      </w:r>
      <w:r w:rsidRPr="00BD57D0">
        <w:rPr>
          <w:bCs/>
        </w:rPr>
        <w:t xml:space="preserve"> </w:t>
      </w:r>
      <w:r>
        <w:rPr>
          <w:bCs/>
        </w:rPr>
        <w:t>are</w:t>
      </w:r>
      <w:r w:rsidRPr="00BD57D0">
        <w:rPr>
          <w:bCs/>
        </w:rPr>
        <w:t xml:space="preserve"> entitled to a cash commission equal to </w:t>
      </w:r>
      <w:r w:rsidR="001D45DE">
        <w:rPr>
          <w:bCs/>
        </w:rPr>
        <w:t>8%</w:t>
      </w:r>
      <w:r w:rsidRPr="00BD57D0">
        <w:rPr>
          <w:bCs/>
        </w:rPr>
        <w:t xml:space="preserve"> of the gross proceeds of the Offering, except that, with respect to sales of </w:t>
      </w:r>
      <w:r>
        <w:rPr>
          <w:bCs/>
        </w:rPr>
        <w:t>Placement Units</w:t>
      </w:r>
      <w:r w:rsidRPr="00BD57D0">
        <w:rPr>
          <w:bCs/>
        </w:rPr>
        <w:t xml:space="preserve"> to certain persons on the </w:t>
      </w:r>
      <w:r>
        <w:rPr>
          <w:bCs/>
        </w:rPr>
        <w:t>Company’s</w:t>
      </w:r>
      <w:r w:rsidRPr="00BD57D0">
        <w:rPr>
          <w:bCs/>
        </w:rPr>
        <w:t xml:space="preserve"> “President’s List”, the Agent</w:t>
      </w:r>
      <w:r>
        <w:rPr>
          <w:bCs/>
        </w:rPr>
        <w:t>s</w:t>
      </w:r>
      <w:r w:rsidRPr="00BD57D0">
        <w:rPr>
          <w:bCs/>
        </w:rPr>
        <w:t xml:space="preserve"> will receive a cash commission equal to </w:t>
      </w:r>
      <w:r w:rsidR="00A45DCF">
        <w:rPr>
          <w:bCs/>
        </w:rPr>
        <w:t>3</w:t>
      </w:r>
      <w:r w:rsidRPr="00BD57D0">
        <w:rPr>
          <w:bCs/>
        </w:rPr>
        <w:t xml:space="preserve">%. </w:t>
      </w:r>
    </w:p>
    <w:p w14:paraId="5E2EC1AD" w14:textId="77777777" w:rsidR="00BD57D0" w:rsidRDefault="00BD57D0" w:rsidP="00BD57D0">
      <w:pPr>
        <w:spacing w:before="1"/>
        <w:ind w:left="140" w:right="119"/>
        <w:jc w:val="both"/>
        <w:rPr>
          <w:bCs/>
        </w:rPr>
      </w:pPr>
    </w:p>
    <w:p w14:paraId="216D4917" w14:textId="2ABD99FB" w:rsidR="00BD57D0" w:rsidRDefault="00BD57D0" w:rsidP="00BD57D0">
      <w:pPr>
        <w:spacing w:before="1"/>
        <w:ind w:left="140" w:right="119"/>
        <w:jc w:val="both"/>
        <w:rPr>
          <w:bCs/>
        </w:rPr>
      </w:pPr>
      <w:r>
        <w:rPr>
          <w:bCs/>
        </w:rPr>
        <w:t>Pursuant to the Engagement Let</w:t>
      </w:r>
      <w:r w:rsidRPr="00BD57D0">
        <w:rPr>
          <w:bCs/>
        </w:rPr>
        <w:t>t</w:t>
      </w:r>
      <w:r>
        <w:rPr>
          <w:bCs/>
        </w:rPr>
        <w:t xml:space="preserve">er, </w:t>
      </w:r>
      <w:r w:rsidRPr="00BD57D0">
        <w:rPr>
          <w:bCs/>
        </w:rPr>
        <w:t>the Agent</w:t>
      </w:r>
      <w:r w:rsidR="001D45DE">
        <w:rPr>
          <w:bCs/>
        </w:rPr>
        <w:t>s</w:t>
      </w:r>
      <w:r>
        <w:rPr>
          <w:bCs/>
        </w:rPr>
        <w:t xml:space="preserve"> </w:t>
      </w:r>
      <w:r w:rsidRPr="00BD57D0">
        <w:rPr>
          <w:bCs/>
        </w:rPr>
        <w:t xml:space="preserve">will receive non-transferable warrants (the </w:t>
      </w:r>
      <w:r w:rsidR="002476C8" w:rsidRPr="002476C8">
        <w:rPr>
          <w:bCs/>
        </w:rPr>
        <w:t>"</w:t>
      </w:r>
      <w:r w:rsidRPr="00BD57D0">
        <w:rPr>
          <w:b/>
        </w:rPr>
        <w:t>Broker Warrant</w:t>
      </w:r>
      <w:r w:rsidR="002476C8" w:rsidRPr="002476C8">
        <w:rPr>
          <w:bCs/>
        </w:rPr>
        <w:t>"</w:t>
      </w:r>
      <w:r w:rsidRPr="00BD57D0">
        <w:rPr>
          <w:bCs/>
        </w:rPr>
        <w:t xml:space="preserve">) in an amount equal to </w:t>
      </w:r>
      <w:r w:rsidR="001D45DE">
        <w:rPr>
          <w:bCs/>
        </w:rPr>
        <w:t>8</w:t>
      </w:r>
      <w:r w:rsidRPr="00BD57D0">
        <w:rPr>
          <w:bCs/>
        </w:rPr>
        <w:t>% of the number of</w:t>
      </w:r>
      <w:r>
        <w:rPr>
          <w:bCs/>
        </w:rPr>
        <w:t xml:space="preserve"> Placement</w:t>
      </w:r>
      <w:r w:rsidRPr="00BD57D0">
        <w:rPr>
          <w:bCs/>
        </w:rPr>
        <w:t xml:space="preserve"> Units sold in connection with the Offering, also being applicable on </w:t>
      </w:r>
      <w:r>
        <w:rPr>
          <w:bCs/>
        </w:rPr>
        <w:t xml:space="preserve">Placement </w:t>
      </w:r>
      <w:r w:rsidRPr="00BD57D0">
        <w:rPr>
          <w:bCs/>
        </w:rPr>
        <w:t>Units sold from the exercise of the Agents’ Option, where any such exercise occurs. Each Broker Warrant shall entitle the holder thereof to purchase one</w:t>
      </w:r>
      <w:r>
        <w:rPr>
          <w:bCs/>
        </w:rPr>
        <w:t xml:space="preserve"> Placement</w:t>
      </w:r>
      <w:r w:rsidRPr="00BD57D0">
        <w:rPr>
          <w:bCs/>
        </w:rPr>
        <w:t xml:space="preserve"> Unit at an exercise price equal to the Issue Price for a period of </w:t>
      </w:r>
      <w:r w:rsidR="001D45DE">
        <w:rPr>
          <w:bCs/>
        </w:rPr>
        <w:t>48</w:t>
      </w:r>
      <w:r w:rsidRPr="00BD57D0">
        <w:rPr>
          <w:bCs/>
        </w:rPr>
        <w:t xml:space="preserve"> months from the date of issuance.</w:t>
      </w:r>
    </w:p>
    <w:p w14:paraId="57225371" w14:textId="77777777" w:rsidR="00A45DCF" w:rsidRDefault="00A45DCF" w:rsidP="00BD57D0">
      <w:pPr>
        <w:spacing w:before="1"/>
        <w:ind w:left="140" w:right="119"/>
        <w:jc w:val="both"/>
        <w:rPr>
          <w:bCs/>
        </w:rPr>
      </w:pPr>
    </w:p>
    <w:p w14:paraId="0FCB056A" w14:textId="35FC1320" w:rsidR="00A45DCF" w:rsidRPr="00BD57D0" w:rsidRDefault="00A45DCF" w:rsidP="00BD57D0">
      <w:pPr>
        <w:spacing w:before="1"/>
        <w:ind w:left="140" w:right="119"/>
        <w:jc w:val="both"/>
        <w:rPr>
          <w:bCs/>
        </w:rPr>
      </w:pPr>
      <w:r>
        <w:rPr>
          <w:bCs/>
        </w:rPr>
        <w:t>I</w:t>
      </w:r>
      <w:r w:rsidRPr="00A45DCF">
        <w:rPr>
          <w:bCs/>
        </w:rPr>
        <w:t>f the Offering results in aggregate gross proceeds greater than $5,</w:t>
      </w:r>
      <w:r w:rsidR="0098023B">
        <w:rPr>
          <w:bCs/>
        </w:rPr>
        <w:t>750</w:t>
      </w:r>
      <w:r w:rsidRPr="00A45DCF">
        <w:rPr>
          <w:bCs/>
        </w:rPr>
        <w:t>,000, the Company shall pay to the Agents a corporate finance fee (</w:t>
      </w:r>
      <w:r w:rsidR="002476C8" w:rsidRPr="002476C8">
        <w:rPr>
          <w:bCs/>
        </w:rPr>
        <w:t>"</w:t>
      </w:r>
      <w:r w:rsidRPr="00A45DCF">
        <w:rPr>
          <w:b/>
        </w:rPr>
        <w:t>Corporate Finance Fee</w:t>
      </w:r>
      <w:r w:rsidR="002476C8" w:rsidRPr="002476C8">
        <w:rPr>
          <w:bCs/>
        </w:rPr>
        <w:t>"</w:t>
      </w:r>
      <w:r w:rsidRPr="00A45DCF">
        <w:rPr>
          <w:bCs/>
        </w:rPr>
        <w:t>) equal to $</w:t>
      </w:r>
      <w:r w:rsidR="001D45DE">
        <w:rPr>
          <w:bCs/>
        </w:rPr>
        <w:t>75</w:t>
      </w:r>
      <w:r w:rsidRPr="00A45DCF">
        <w:rPr>
          <w:bCs/>
        </w:rPr>
        <w:t>,000, payable in</w:t>
      </w:r>
      <w:r>
        <w:rPr>
          <w:bCs/>
        </w:rPr>
        <w:t xml:space="preserve"> Placement</w:t>
      </w:r>
      <w:r w:rsidRPr="00A45DCF">
        <w:rPr>
          <w:bCs/>
        </w:rPr>
        <w:t xml:space="preserve"> Units upon Closing. The Corporate Finance Fee shall be paid pro-rata to each agent in proportion</w:t>
      </w:r>
      <w:r>
        <w:rPr>
          <w:bCs/>
        </w:rPr>
        <w:t xml:space="preserve"> to the syndicate economics.</w:t>
      </w:r>
    </w:p>
    <w:p w14:paraId="3AFC90B0" w14:textId="77777777" w:rsidR="00BD57D0" w:rsidRDefault="00BD57D0" w:rsidP="00BD57D0">
      <w:pPr>
        <w:spacing w:before="1"/>
        <w:ind w:left="140" w:right="119"/>
        <w:jc w:val="both"/>
        <w:rPr>
          <w:b/>
        </w:rPr>
      </w:pPr>
    </w:p>
    <w:p w14:paraId="6AD4EF41" w14:textId="1375A606" w:rsidR="00BD57D0" w:rsidRDefault="00BD57D0" w:rsidP="00BD57D0">
      <w:pPr>
        <w:spacing w:before="1"/>
        <w:ind w:left="140" w:right="119"/>
        <w:jc w:val="both"/>
        <w:rPr>
          <w:bCs/>
        </w:rPr>
      </w:pPr>
      <w:r>
        <w:rPr>
          <w:b/>
        </w:rPr>
        <w:t>Do the Agents have a conflict of interest?</w:t>
      </w:r>
    </w:p>
    <w:p w14:paraId="05EB88F4" w14:textId="77777777" w:rsidR="00BD57D0" w:rsidRDefault="00BD57D0" w:rsidP="00BD57D0">
      <w:pPr>
        <w:spacing w:before="1"/>
        <w:ind w:left="140" w:right="119"/>
        <w:jc w:val="both"/>
        <w:rPr>
          <w:bCs/>
        </w:rPr>
      </w:pPr>
    </w:p>
    <w:p w14:paraId="37F1A154" w14:textId="673AF5B0" w:rsidR="00BD57D0" w:rsidRDefault="00BD57D0" w:rsidP="00BD57D0">
      <w:pPr>
        <w:spacing w:before="1"/>
        <w:ind w:left="140" w:right="119"/>
        <w:jc w:val="both"/>
        <w:rPr>
          <w:bCs/>
        </w:rPr>
      </w:pPr>
      <w:r w:rsidRPr="0066162F">
        <w:rPr>
          <w:bCs/>
        </w:rPr>
        <w:t xml:space="preserve">To the knowledge of the </w:t>
      </w:r>
      <w:r>
        <w:rPr>
          <w:bCs/>
        </w:rPr>
        <w:t>Company</w:t>
      </w:r>
      <w:r w:rsidRPr="0066162F">
        <w:rPr>
          <w:bCs/>
        </w:rPr>
        <w:t xml:space="preserve">, it is not a </w:t>
      </w:r>
      <w:r>
        <w:rPr>
          <w:bCs/>
        </w:rPr>
        <w:t>"</w:t>
      </w:r>
      <w:r w:rsidRPr="0066162F">
        <w:rPr>
          <w:bCs/>
        </w:rPr>
        <w:t>related issuer</w:t>
      </w:r>
      <w:r>
        <w:rPr>
          <w:bCs/>
        </w:rPr>
        <w:t>"</w:t>
      </w:r>
      <w:r w:rsidRPr="0066162F">
        <w:rPr>
          <w:bCs/>
        </w:rPr>
        <w:t xml:space="preserve"> or </w:t>
      </w:r>
      <w:r>
        <w:rPr>
          <w:bCs/>
        </w:rPr>
        <w:t>"</w:t>
      </w:r>
      <w:r w:rsidRPr="0066162F">
        <w:rPr>
          <w:bCs/>
        </w:rPr>
        <w:t>connected issuer</w:t>
      </w:r>
      <w:r>
        <w:rPr>
          <w:bCs/>
        </w:rPr>
        <w:t>"</w:t>
      </w:r>
      <w:r w:rsidRPr="0066162F">
        <w:rPr>
          <w:bCs/>
        </w:rPr>
        <w:t xml:space="preserve"> of or to any of the </w:t>
      </w:r>
      <w:r>
        <w:rPr>
          <w:bCs/>
        </w:rPr>
        <w:t>Agents</w:t>
      </w:r>
      <w:r w:rsidRPr="0066162F">
        <w:rPr>
          <w:bCs/>
        </w:rPr>
        <w:t xml:space="preserve">, as such terms are defined in National Instrument 33-105 – </w:t>
      </w:r>
      <w:r w:rsidRPr="0066162F">
        <w:rPr>
          <w:bCs/>
          <w:i/>
          <w:iCs/>
        </w:rPr>
        <w:t>Underwriting Conflicts</w:t>
      </w:r>
      <w:r w:rsidRPr="0066162F">
        <w:rPr>
          <w:bCs/>
        </w:rPr>
        <w:t>.</w:t>
      </w:r>
    </w:p>
    <w:p w14:paraId="4B2878A9" w14:textId="77777777" w:rsidR="00BD57D0" w:rsidRPr="008A4F8A" w:rsidRDefault="00BD57D0" w:rsidP="00BD57D0">
      <w:pPr>
        <w:spacing w:before="1"/>
        <w:ind w:left="140" w:right="119"/>
        <w:jc w:val="both"/>
        <w:rPr>
          <w:bCs/>
        </w:rPr>
      </w:pPr>
    </w:p>
    <w:p w14:paraId="2E5B05F6" w14:textId="77777777" w:rsidR="00472735" w:rsidRDefault="00472735" w:rsidP="00594D4F">
      <w:pPr>
        <w:pStyle w:val="Subtitle"/>
        <w:jc w:val="center"/>
      </w:pPr>
      <w:r>
        <w:lastRenderedPageBreak/>
        <w:t>PURCHASERS’ RIGHTS</w:t>
      </w:r>
    </w:p>
    <w:p w14:paraId="75007F49" w14:textId="77777777" w:rsidR="00472735" w:rsidRDefault="00472735" w:rsidP="00594D4F">
      <w:pPr>
        <w:pStyle w:val="TextJustified"/>
        <w:keepNext/>
        <w:rPr>
          <w:b/>
          <w:bCs/>
        </w:rPr>
      </w:pPr>
      <w:r>
        <w:rPr>
          <w:b/>
          <w:bCs/>
        </w:rPr>
        <w:t>Rights of Action in the Event of a Misrepresentation</w:t>
      </w:r>
    </w:p>
    <w:p w14:paraId="2F201A51" w14:textId="3B072F63" w:rsidR="00472735" w:rsidRDefault="00472735" w:rsidP="00594D4F">
      <w:pPr>
        <w:pStyle w:val="TextJustified"/>
        <w:keepNext/>
        <w:rPr>
          <w:b/>
          <w:bCs/>
        </w:rPr>
      </w:pPr>
      <w:r>
        <w:rPr>
          <w:b/>
          <w:bCs/>
        </w:rPr>
        <w:t xml:space="preserve">If there is a misrepresentation in this </w:t>
      </w:r>
      <w:r w:rsidR="001D45DE">
        <w:rPr>
          <w:b/>
          <w:bCs/>
        </w:rPr>
        <w:t>O</w:t>
      </w:r>
      <w:r>
        <w:rPr>
          <w:b/>
          <w:bCs/>
        </w:rPr>
        <w:t xml:space="preserve">ffering </w:t>
      </w:r>
      <w:r w:rsidR="001D45DE">
        <w:rPr>
          <w:b/>
          <w:bCs/>
        </w:rPr>
        <w:t>D</w:t>
      </w:r>
      <w:r>
        <w:rPr>
          <w:b/>
          <w:bCs/>
        </w:rPr>
        <w:t>ocument, you have a right</w:t>
      </w:r>
    </w:p>
    <w:p w14:paraId="7D9E6692" w14:textId="77777777" w:rsidR="00472735" w:rsidRDefault="00472735" w:rsidP="00472735">
      <w:pPr>
        <w:pStyle w:val="Heading2"/>
        <w:jc w:val="both"/>
        <w:rPr>
          <w:b/>
          <w:bCs w:val="0"/>
        </w:rPr>
      </w:pPr>
      <w:r>
        <w:rPr>
          <w:b/>
          <w:bCs w:val="0"/>
        </w:rPr>
        <w:t>to rescind your purchase of these securities with the Company, or</w:t>
      </w:r>
    </w:p>
    <w:p w14:paraId="40D1E461" w14:textId="77777777" w:rsidR="00472735" w:rsidRDefault="00472735" w:rsidP="00472735">
      <w:pPr>
        <w:pStyle w:val="Heading2"/>
        <w:jc w:val="both"/>
        <w:rPr>
          <w:b/>
          <w:bCs w:val="0"/>
        </w:rPr>
      </w:pPr>
      <w:r>
        <w:rPr>
          <w:b/>
          <w:bCs w:val="0"/>
        </w:rPr>
        <w:t>to damages against the Company and may, in certain jurisdictions, have a statutory right to damages from other persons.</w:t>
      </w:r>
    </w:p>
    <w:p w14:paraId="4F332219" w14:textId="77777777" w:rsidR="00472735" w:rsidRDefault="00472735" w:rsidP="00472735">
      <w:pPr>
        <w:pStyle w:val="TextJustified"/>
        <w:rPr>
          <w:b/>
          <w:bCs/>
        </w:rPr>
      </w:pPr>
      <w:r>
        <w:rPr>
          <w:b/>
          <w:bCs/>
        </w:rPr>
        <w:t>These rights are available to you whether or not you relied on the misrepresentation. However, there are various circumstances that limit your rights. In particular, your rights might be limited if you knew of the misrepresentation when you purchased the securities.</w:t>
      </w:r>
    </w:p>
    <w:p w14:paraId="77AFF025" w14:textId="77777777" w:rsidR="00472735" w:rsidRDefault="00472735" w:rsidP="00472735">
      <w:pPr>
        <w:pStyle w:val="TextJustified"/>
        <w:rPr>
          <w:b/>
          <w:bCs/>
        </w:rPr>
      </w:pPr>
      <w:r>
        <w:rPr>
          <w:b/>
          <w:bCs/>
        </w:rPr>
        <w:t>If you intend to rely on the rights described in paragraph (a) or (b) above, you must do so within strict time limitations.</w:t>
      </w:r>
    </w:p>
    <w:p w14:paraId="339CBE31" w14:textId="77777777" w:rsidR="00472735" w:rsidRDefault="00472735" w:rsidP="00472735">
      <w:pPr>
        <w:pStyle w:val="TextJustified"/>
        <w:rPr>
          <w:b/>
          <w:bCs/>
        </w:rPr>
      </w:pPr>
      <w:r>
        <w:rPr>
          <w:b/>
          <w:bCs/>
        </w:rPr>
        <w:t xml:space="preserve">You should refer to any applicable provisions of the securities legislation of your province or territory for the particulars of these rights or consult with a legal adviser. </w:t>
      </w:r>
    </w:p>
    <w:p w14:paraId="1F39364B" w14:textId="77777777" w:rsidR="00472735" w:rsidRDefault="00472735" w:rsidP="00472735">
      <w:pPr>
        <w:pStyle w:val="Subtitle"/>
        <w:jc w:val="center"/>
      </w:pPr>
      <w:r>
        <w:t>ADDITIONAL INFORMATION</w:t>
      </w:r>
    </w:p>
    <w:p w14:paraId="70E4A293" w14:textId="77777777" w:rsidR="00472735" w:rsidRDefault="00472735" w:rsidP="00472735">
      <w:pPr>
        <w:pStyle w:val="Subtitle"/>
      </w:pPr>
      <w:r>
        <w:t>Where can you find more information about us?</w:t>
      </w:r>
    </w:p>
    <w:p w14:paraId="0E3DDE9C" w14:textId="08DC1CF3" w:rsidR="00472735" w:rsidRDefault="00472735" w:rsidP="00472735">
      <w:pPr>
        <w:pStyle w:val="TextJustified"/>
      </w:pPr>
      <w:r>
        <w:t xml:space="preserve">Security holders can access the Company’s continuous disclosure filings on SEDAR+ at </w:t>
      </w:r>
      <w:hyperlink r:id="rId10" w:history="1">
        <w:r w:rsidR="00541627" w:rsidRPr="00692B7D">
          <w:rPr>
            <w:rStyle w:val="Hyperlink"/>
          </w:rPr>
          <w:t>www.sedarplus.ca</w:t>
        </w:r>
      </w:hyperlink>
      <w:r w:rsidR="00541627">
        <w:t xml:space="preserve"> </w:t>
      </w:r>
      <w:r>
        <w:t xml:space="preserve"> under the Company’s profile.</w:t>
      </w:r>
    </w:p>
    <w:p w14:paraId="7691CE3A" w14:textId="4073A725" w:rsidR="00472735" w:rsidRDefault="00472735" w:rsidP="00472735">
      <w:pPr>
        <w:pStyle w:val="TextJustified"/>
      </w:pPr>
      <w:r>
        <w:t xml:space="preserve">For further information regarding the Company, visit our website at: </w:t>
      </w:r>
      <w:hyperlink r:id="rId11" w:history="1">
        <w:r w:rsidR="00BD57D0" w:rsidRPr="002562E4">
          <w:rPr>
            <w:rStyle w:val="Hyperlink"/>
          </w:rPr>
          <w:t>https://www.tagoil.com/</w:t>
        </w:r>
      </w:hyperlink>
      <w:r w:rsidR="00541627">
        <w:t>.</w:t>
      </w:r>
      <w:r>
        <w:t xml:space="preserve"> </w:t>
      </w:r>
    </w:p>
    <w:p w14:paraId="52A172D1" w14:textId="7B68214F" w:rsidR="00472735" w:rsidRDefault="00472735" w:rsidP="00472735">
      <w:pPr>
        <w:pStyle w:val="TextJustified"/>
        <w:rPr>
          <w:b/>
          <w:bCs/>
          <w:i/>
          <w:iCs/>
        </w:rPr>
      </w:pPr>
      <w:r>
        <w:rPr>
          <w:b/>
          <w:bCs/>
          <w:i/>
          <w:iCs/>
        </w:rPr>
        <w:t xml:space="preserve">Investors should read this </w:t>
      </w:r>
      <w:r w:rsidR="001D45DE">
        <w:rPr>
          <w:b/>
          <w:bCs/>
          <w:i/>
          <w:iCs/>
        </w:rPr>
        <w:t>O</w:t>
      </w:r>
      <w:r>
        <w:rPr>
          <w:b/>
          <w:bCs/>
          <w:i/>
          <w:iCs/>
        </w:rPr>
        <w:t xml:space="preserve">ffering </w:t>
      </w:r>
      <w:r w:rsidR="001D45DE">
        <w:rPr>
          <w:b/>
          <w:bCs/>
          <w:i/>
          <w:iCs/>
        </w:rPr>
        <w:t>D</w:t>
      </w:r>
      <w:r>
        <w:rPr>
          <w:b/>
          <w:bCs/>
          <w:i/>
          <w:iCs/>
        </w:rPr>
        <w:t xml:space="preserve">ocument and consult their own professional advisors to assess the income tax, legal, risk factors and other aspects of their investment in Placement Units. </w:t>
      </w:r>
    </w:p>
    <w:p w14:paraId="16BE9D8F" w14:textId="77777777" w:rsidR="00472735" w:rsidRDefault="00472735" w:rsidP="00472735">
      <w:pPr>
        <w:pStyle w:val="Subtitle"/>
        <w:keepLines/>
        <w:jc w:val="center"/>
      </w:pPr>
      <w:r>
        <w:t>CERTIFICATE OF THE COMPANY</w:t>
      </w:r>
    </w:p>
    <w:p w14:paraId="29AF446D" w14:textId="3490B80F" w:rsidR="00472735" w:rsidRDefault="00472735" w:rsidP="00472735">
      <w:pPr>
        <w:pStyle w:val="TextJustified"/>
        <w:keepNext/>
        <w:keepLines/>
        <w:rPr>
          <w:b/>
          <w:bCs/>
        </w:rPr>
      </w:pPr>
      <w:r>
        <w:rPr>
          <w:b/>
          <w:bCs/>
        </w:rPr>
        <w:t xml:space="preserve">This </w:t>
      </w:r>
      <w:r w:rsidR="001D45DE">
        <w:rPr>
          <w:b/>
          <w:bCs/>
        </w:rPr>
        <w:t>O</w:t>
      </w:r>
      <w:r>
        <w:rPr>
          <w:b/>
          <w:bCs/>
        </w:rPr>
        <w:t xml:space="preserve">ffering </w:t>
      </w:r>
      <w:r w:rsidR="001D45DE">
        <w:rPr>
          <w:b/>
          <w:bCs/>
        </w:rPr>
        <w:t>D</w:t>
      </w:r>
      <w:r>
        <w:rPr>
          <w:b/>
          <w:bCs/>
        </w:rPr>
        <w:t xml:space="preserve">ocument, together with any document filed under Canadian securities legislation on or after </w:t>
      </w:r>
      <w:r w:rsidR="001D45DE" w:rsidRPr="007D4F50">
        <w:rPr>
          <w:b/>
          <w:bCs/>
        </w:rPr>
        <w:t xml:space="preserve">February </w:t>
      </w:r>
      <w:r w:rsidR="002A657B">
        <w:rPr>
          <w:b/>
          <w:bCs/>
        </w:rPr>
        <w:t>3</w:t>
      </w:r>
      <w:r w:rsidRPr="007D4F50">
        <w:rPr>
          <w:b/>
          <w:bCs/>
        </w:rPr>
        <w:t>, 202</w:t>
      </w:r>
      <w:r w:rsidR="001D45DE" w:rsidRPr="007D4F50">
        <w:rPr>
          <w:b/>
          <w:bCs/>
        </w:rPr>
        <w:t>5</w:t>
      </w:r>
      <w:r>
        <w:rPr>
          <w:b/>
          <w:bCs/>
        </w:rPr>
        <w:t>, contains disclosure of all material facts about the securities being distributed and does not contain a misrepresentation.</w:t>
      </w:r>
    </w:p>
    <w:p w14:paraId="43E0DC65" w14:textId="0F9D99C5" w:rsidR="00472735" w:rsidRDefault="001D45DE" w:rsidP="00472735">
      <w:pPr>
        <w:pStyle w:val="TextJustified"/>
        <w:keepNext/>
        <w:rPr>
          <w:b/>
          <w:bCs/>
        </w:rPr>
      </w:pPr>
      <w:r w:rsidRPr="007D4F50">
        <w:rPr>
          <w:b/>
          <w:bCs/>
        </w:rPr>
        <w:t>February</w:t>
      </w:r>
      <w:r w:rsidR="00BD57D0" w:rsidRPr="007D4F50">
        <w:rPr>
          <w:b/>
          <w:bCs/>
        </w:rPr>
        <w:t xml:space="preserve"> </w:t>
      </w:r>
      <w:r w:rsidR="002A657B">
        <w:rPr>
          <w:rFonts w:cs="Arial"/>
          <w:b/>
          <w:bCs/>
        </w:rPr>
        <w:t>3</w:t>
      </w:r>
      <w:r w:rsidR="00BD57D0" w:rsidRPr="007D4F50">
        <w:rPr>
          <w:b/>
          <w:bCs/>
        </w:rPr>
        <w:t>, 202</w:t>
      </w:r>
      <w:r w:rsidRPr="007D4F50">
        <w:rPr>
          <w:b/>
          <w:bCs/>
        </w:rPr>
        <w:t>6</w:t>
      </w:r>
    </w:p>
    <w:p w14:paraId="2473DD85" w14:textId="77777777" w:rsidR="00472735" w:rsidRDefault="00472735" w:rsidP="00472735">
      <w:pPr>
        <w:pStyle w:val="TextJustified"/>
        <w:keepNext/>
        <w:rPr>
          <w:b/>
          <w:bC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0"/>
        <w:gridCol w:w="3289"/>
        <w:gridCol w:w="1026"/>
        <w:gridCol w:w="878"/>
        <w:gridCol w:w="3287"/>
      </w:tblGrid>
      <w:tr w:rsidR="00472735" w14:paraId="69D0E6D2" w14:textId="77777777" w:rsidTr="00192C1B">
        <w:tc>
          <w:tcPr>
            <w:tcW w:w="470" w:type="pct"/>
          </w:tcPr>
          <w:p w14:paraId="0C05EE18" w14:textId="77777777" w:rsidR="00472735" w:rsidRDefault="00472735" w:rsidP="00192C1B">
            <w:pPr>
              <w:keepNext/>
              <w:spacing w:after="0"/>
              <w:jc w:val="both"/>
              <w:rPr>
                <w:snapToGrid w:val="0"/>
              </w:rPr>
            </w:pPr>
            <w:r>
              <w:rPr>
                <w:snapToGrid w:val="0"/>
              </w:rPr>
              <w:t>By:</w:t>
            </w:r>
          </w:p>
        </w:tc>
        <w:tc>
          <w:tcPr>
            <w:tcW w:w="1757" w:type="pct"/>
            <w:tcBorders>
              <w:bottom w:val="single" w:sz="4" w:space="0" w:color="auto"/>
            </w:tcBorders>
          </w:tcPr>
          <w:p w14:paraId="5A8BB9BA" w14:textId="1D64AE40" w:rsidR="00472735" w:rsidRPr="00AC145F" w:rsidRDefault="00472735" w:rsidP="00192C1B">
            <w:pPr>
              <w:keepNext/>
              <w:spacing w:after="0"/>
              <w:jc w:val="both"/>
              <w:rPr>
                <w:snapToGrid w:val="0"/>
              </w:rPr>
            </w:pPr>
            <w:r>
              <w:rPr>
                <w:snapToGrid w:val="0"/>
              </w:rPr>
              <w:t>(Signed) “</w:t>
            </w:r>
            <w:r w:rsidR="00A45DCF">
              <w:rPr>
                <w:i/>
                <w:iCs/>
                <w:snapToGrid w:val="0"/>
              </w:rPr>
              <w:t>Abdel (Abby) Badwi</w:t>
            </w:r>
            <w:r>
              <w:rPr>
                <w:snapToGrid w:val="0"/>
              </w:rPr>
              <w:t>”</w:t>
            </w:r>
          </w:p>
        </w:tc>
        <w:tc>
          <w:tcPr>
            <w:tcW w:w="548" w:type="pct"/>
          </w:tcPr>
          <w:p w14:paraId="3D60F873" w14:textId="77777777" w:rsidR="00472735" w:rsidRDefault="00472735" w:rsidP="00192C1B">
            <w:pPr>
              <w:keepNext/>
              <w:spacing w:after="0"/>
              <w:jc w:val="both"/>
              <w:rPr>
                <w:snapToGrid w:val="0"/>
              </w:rPr>
            </w:pPr>
          </w:p>
        </w:tc>
        <w:tc>
          <w:tcPr>
            <w:tcW w:w="469" w:type="pct"/>
          </w:tcPr>
          <w:p w14:paraId="4C28327C" w14:textId="77777777" w:rsidR="00472735" w:rsidRDefault="00472735" w:rsidP="00192C1B">
            <w:pPr>
              <w:keepNext/>
              <w:spacing w:after="0"/>
              <w:jc w:val="both"/>
              <w:rPr>
                <w:snapToGrid w:val="0"/>
              </w:rPr>
            </w:pPr>
            <w:r>
              <w:rPr>
                <w:snapToGrid w:val="0"/>
              </w:rPr>
              <w:t>By:</w:t>
            </w:r>
          </w:p>
        </w:tc>
        <w:tc>
          <w:tcPr>
            <w:tcW w:w="1756" w:type="pct"/>
            <w:tcBorders>
              <w:bottom w:val="single" w:sz="4" w:space="0" w:color="auto"/>
            </w:tcBorders>
          </w:tcPr>
          <w:p w14:paraId="3D25AFAA" w14:textId="348F5B45" w:rsidR="00472735" w:rsidRDefault="00472735" w:rsidP="00192C1B">
            <w:pPr>
              <w:keepNext/>
              <w:spacing w:after="0"/>
              <w:jc w:val="both"/>
              <w:rPr>
                <w:iCs/>
                <w:snapToGrid w:val="0"/>
              </w:rPr>
            </w:pPr>
            <w:r>
              <w:rPr>
                <w:snapToGrid w:val="0"/>
              </w:rPr>
              <w:t>(Signed) “</w:t>
            </w:r>
            <w:r w:rsidR="003A5EA5">
              <w:rPr>
                <w:i/>
                <w:iCs/>
                <w:snapToGrid w:val="0"/>
              </w:rPr>
              <w:t>Doug Urch</w:t>
            </w:r>
            <w:r>
              <w:rPr>
                <w:snapToGrid w:val="0"/>
              </w:rPr>
              <w:t>”</w:t>
            </w:r>
          </w:p>
        </w:tc>
      </w:tr>
      <w:tr w:rsidR="00472735" w14:paraId="48BBE5C3" w14:textId="77777777" w:rsidTr="00192C1B">
        <w:tc>
          <w:tcPr>
            <w:tcW w:w="470" w:type="pct"/>
          </w:tcPr>
          <w:p w14:paraId="0E33ECDF" w14:textId="77777777" w:rsidR="00472735" w:rsidRDefault="00472735" w:rsidP="00192C1B">
            <w:pPr>
              <w:keepNext/>
              <w:spacing w:after="0"/>
              <w:jc w:val="both"/>
              <w:rPr>
                <w:snapToGrid w:val="0"/>
              </w:rPr>
            </w:pPr>
            <w:r>
              <w:rPr>
                <w:snapToGrid w:val="0"/>
              </w:rPr>
              <w:t>Name:</w:t>
            </w:r>
          </w:p>
          <w:p w14:paraId="7912CDAC" w14:textId="77777777" w:rsidR="00472735" w:rsidRDefault="00472735" w:rsidP="00192C1B">
            <w:pPr>
              <w:keepNext/>
              <w:spacing w:after="0"/>
              <w:jc w:val="both"/>
              <w:rPr>
                <w:snapToGrid w:val="0"/>
              </w:rPr>
            </w:pPr>
            <w:r>
              <w:rPr>
                <w:snapToGrid w:val="0"/>
              </w:rPr>
              <w:t>Title:</w:t>
            </w:r>
          </w:p>
        </w:tc>
        <w:tc>
          <w:tcPr>
            <w:tcW w:w="1757" w:type="pct"/>
            <w:tcBorders>
              <w:top w:val="single" w:sz="4" w:space="0" w:color="auto"/>
            </w:tcBorders>
          </w:tcPr>
          <w:p w14:paraId="61693532" w14:textId="269C52AB" w:rsidR="00472735" w:rsidRDefault="00A45DCF" w:rsidP="00192C1B">
            <w:pPr>
              <w:keepNext/>
              <w:spacing w:after="0"/>
              <w:jc w:val="both"/>
              <w:rPr>
                <w:snapToGrid w:val="0"/>
              </w:rPr>
            </w:pPr>
            <w:r>
              <w:rPr>
                <w:snapToGrid w:val="0"/>
              </w:rPr>
              <w:t>Abdel (Abby) Badwi</w:t>
            </w:r>
          </w:p>
          <w:p w14:paraId="1C2AA6CB" w14:textId="77777777" w:rsidR="00472735" w:rsidRDefault="00472735" w:rsidP="00192C1B">
            <w:pPr>
              <w:keepNext/>
              <w:spacing w:after="0"/>
              <w:jc w:val="both"/>
              <w:rPr>
                <w:snapToGrid w:val="0"/>
              </w:rPr>
            </w:pPr>
            <w:r>
              <w:rPr>
                <w:snapToGrid w:val="0"/>
              </w:rPr>
              <w:t>Chief Executive Officer</w:t>
            </w:r>
          </w:p>
        </w:tc>
        <w:tc>
          <w:tcPr>
            <w:tcW w:w="548" w:type="pct"/>
          </w:tcPr>
          <w:p w14:paraId="2B4D753E" w14:textId="77777777" w:rsidR="00472735" w:rsidRDefault="00472735" w:rsidP="00192C1B">
            <w:pPr>
              <w:keepNext/>
              <w:spacing w:after="0"/>
              <w:jc w:val="both"/>
              <w:rPr>
                <w:snapToGrid w:val="0"/>
              </w:rPr>
            </w:pPr>
          </w:p>
        </w:tc>
        <w:tc>
          <w:tcPr>
            <w:tcW w:w="469" w:type="pct"/>
          </w:tcPr>
          <w:p w14:paraId="5597878A" w14:textId="77777777" w:rsidR="00472735" w:rsidRDefault="00472735" w:rsidP="00192C1B">
            <w:pPr>
              <w:keepNext/>
              <w:spacing w:after="0"/>
              <w:jc w:val="both"/>
              <w:rPr>
                <w:snapToGrid w:val="0"/>
              </w:rPr>
            </w:pPr>
            <w:r>
              <w:rPr>
                <w:snapToGrid w:val="0"/>
              </w:rPr>
              <w:t>Name:</w:t>
            </w:r>
          </w:p>
          <w:p w14:paraId="3137A5EE" w14:textId="77777777" w:rsidR="00472735" w:rsidRDefault="00472735" w:rsidP="00192C1B">
            <w:pPr>
              <w:keepNext/>
              <w:spacing w:after="0"/>
              <w:jc w:val="both"/>
              <w:rPr>
                <w:snapToGrid w:val="0"/>
              </w:rPr>
            </w:pPr>
            <w:r>
              <w:rPr>
                <w:snapToGrid w:val="0"/>
              </w:rPr>
              <w:t>Title:</w:t>
            </w:r>
          </w:p>
        </w:tc>
        <w:tc>
          <w:tcPr>
            <w:tcW w:w="1756" w:type="pct"/>
            <w:tcBorders>
              <w:top w:val="single" w:sz="4" w:space="0" w:color="auto"/>
            </w:tcBorders>
          </w:tcPr>
          <w:p w14:paraId="3EE56B69" w14:textId="6ED4297A" w:rsidR="00472735" w:rsidRDefault="003A5EA5" w:rsidP="00192C1B">
            <w:pPr>
              <w:keepNext/>
              <w:spacing w:after="0"/>
              <w:jc w:val="both"/>
              <w:rPr>
                <w:snapToGrid w:val="0"/>
              </w:rPr>
            </w:pPr>
            <w:r>
              <w:rPr>
                <w:snapToGrid w:val="0"/>
              </w:rPr>
              <w:t>Doug Urch</w:t>
            </w:r>
          </w:p>
          <w:p w14:paraId="02566DB8" w14:textId="77777777" w:rsidR="00472735" w:rsidRDefault="00472735" w:rsidP="00192C1B">
            <w:pPr>
              <w:keepNext/>
              <w:spacing w:after="0"/>
              <w:jc w:val="both"/>
              <w:rPr>
                <w:snapToGrid w:val="0"/>
              </w:rPr>
            </w:pPr>
            <w:r>
              <w:rPr>
                <w:snapToGrid w:val="0"/>
              </w:rPr>
              <w:t>Chief Financial Officer</w:t>
            </w:r>
          </w:p>
        </w:tc>
      </w:tr>
    </w:tbl>
    <w:p w14:paraId="6B6A5357" w14:textId="77777777" w:rsidR="00472735" w:rsidRDefault="00472735" w:rsidP="00472735">
      <w:pPr>
        <w:spacing w:line="240" w:lineRule="auto"/>
        <w:contextualSpacing/>
        <w:rPr>
          <w:rFonts w:eastAsia="Calibri" w:cs="Arial"/>
          <w:sz w:val="16"/>
          <w:szCs w:val="16"/>
        </w:rPr>
      </w:pPr>
    </w:p>
    <w:p w14:paraId="771D05EE" w14:textId="7BB093FC" w:rsidR="007B6A98" w:rsidRPr="007B6A98" w:rsidRDefault="007B6A98" w:rsidP="007B6A98">
      <w:pPr>
        <w:widowControl w:val="0"/>
        <w:autoSpaceDE w:val="0"/>
        <w:autoSpaceDN w:val="0"/>
        <w:spacing w:line="240" w:lineRule="auto"/>
        <w:jc w:val="both"/>
        <w:rPr>
          <w:rFonts w:asciiTheme="majorHAnsi" w:eastAsia="Times New Roman" w:hAnsiTheme="majorHAnsi" w:cstheme="majorHAnsi"/>
          <w:b/>
          <w:i/>
          <w:lang w:val="en-US"/>
        </w:rPr>
      </w:pPr>
    </w:p>
    <w:sectPr w:rsidR="007B6A98" w:rsidRPr="007B6A98" w:rsidSect="00E57D33">
      <w:footerReference w:type="even" r:id="rId12"/>
      <w:pgSz w:w="12240" w:h="15840" w:code="1"/>
      <w:pgMar w:top="1440" w:right="1440" w:bottom="1440" w:left="1440" w:header="720" w:footer="720" w:gutter="0"/>
      <w:pgNumType w:fmt="lowerRoman"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BC924" w14:textId="77777777" w:rsidR="00ED7B55" w:rsidRDefault="00ED7B55">
      <w:r>
        <w:separator/>
      </w:r>
    </w:p>
  </w:endnote>
  <w:endnote w:type="continuationSeparator" w:id="0">
    <w:p w14:paraId="4D6FFA6D" w14:textId="77777777" w:rsidR="00ED7B55" w:rsidRDefault="00ED7B55">
      <w:r>
        <w:continuationSeparator/>
      </w:r>
    </w:p>
  </w:endnote>
  <w:endnote w:type="continuationNotice" w:id="1">
    <w:p w14:paraId="479F3DD3" w14:textId="77777777" w:rsidR="00ED7B55" w:rsidRDefault="00ED7B5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5" w:name="_iDocIDFieldff18a940-f032-4c93-9be4-e19d"/>
  <w:p w14:paraId="1D0D956B" w14:textId="77777777" w:rsidR="00485781" w:rsidRDefault="00485781">
    <w:pPr>
      <w:pStyle w:val="DocID"/>
    </w:pPr>
    <w:r>
      <w:fldChar w:fldCharType="begin"/>
    </w:r>
    <w:r>
      <w:instrText xml:space="preserve">  DOCPROPERTY "CUS_DocIDChunk0" </w:instrText>
    </w:r>
    <w:r>
      <w:fldChar w:fldCharType="separate"/>
    </w:r>
    <w:r>
      <w:rPr>
        <w:noProof/>
      </w:rPr>
      <w:t>NATDOCS\91960222\V-2</w:t>
    </w:r>
    <w:r>
      <w:fldChar w:fldCharType="end"/>
    </w:r>
    <w:bookmarkEnd w:id="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96758" w14:textId="77777777" w:rsidR="00ED7B55" w:rsidRDefault="00ED7B55">
      <w:r>
        <w:separator/>
      </w:r>
    </w:p>
  </w:footnote>
  <w:footnote w:type="continuationSeparator" w:id="0">
    <w:p w14:paraId="5B35911D" w14:textId="77777777" w:rsidR="00ED7B55" w:rsidRDefault="00ED7B55">
      <w:r>
        <w:continuationSeparator/>
      </w:r>
    </w:p>
  </w:footnote>
  <w:footnote w:type="continuationNotice" w:id="1">
    <w:p w14:paraId="58941882" w14:textId="77777777" w:rsidR="00ED7B55" w:rsidRDefault="00ED7B55">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BA8D2AE"/>
    <w:name w:val="DocXtoolsCompanion_1"/>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5741412"/>
    <w:name w:val="DocXtoolsCompanion_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A1A3772"/>
    <w:name w:val="DocXtoolsCompanion_3"/>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E306972"/>
    <w:name w:val="DocXtoolsCompanion_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6B04EE4"/>
    <w:name w:val="DocXtoolsCompanion_5"/>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D44CF1C"/>
    <w:name w:val="DocXtoolsCompanion_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880016A"/>
    <w:name w:val="DocXtoolsCompanion_7"/>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83AF862"/>
    <w:name w:val="DocXtoolsCompanion_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2D28A90"/>
    <w:name w:val="DocXtoolsCompanion_9"/>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CD2F4D0"/>
    <w:name w:val="DocXtoolsCompanion_1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3E52FF"/>
    <w:multiLevelType w:val="hybridMultilevel"/>
    <w:tmpl w:val="D1D09FE6"/>
    <w:lvl w:ilvl="0" w:tplc="FB28C6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B696BF8"/>
    <w:multiLevelType w:val="hybridMultilevel"/>
    <w:tmpl w:val="15EC7F7C"/>
    <w:name w:val="DocXtoolsCompanion_11"/>
    <w:lvl w:ilvl="0" w:tplc="FFFFFFFF">
      <w:start w:val="1"/>
      <w:numFmt w:val="lowerLetter"/>
      <w:lvlText w:val="%1)"/>
      <w:lvlJc w:val="left"/>
      <w:pPr>
        <w:ind w:left="720" w:hanging="360"/>
      </w:pPr>
      <w:rPr>
        <w:rFonts w:cs="Times New Roman"/>
      </w:rPr>
    </w:lvl>
    <w:lvl w:ilvl="1" w:tplc="0409001B">
      <w:start w:val="1"/>
      <w:numFmt w:val="lowerRoman"/>
      <w:lvlText w:val="%2."/>
      <w:lvlJc w:val="righ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12" w15:restartNumberingAfterBreak="0">
    <w:nsid w:val="158247C7"/>
    <w:multiLevelType w:val="hybridMultilevel"/>
    <w:tmpl w:val="FFF88D46"/>
    <w:name w:val="DocXtoolsCompanion_12"/>
    <w:lvl w:ilvl="0" w:tplc="52060BBA">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252B2D"/>
    <w:multiLevelType w:val="hybridMultilevel"/>
    <w:tmpl w:val="55D8AE8A"/>
    <w:name w:val="DocXtoolsCompanion_13"/>
    <w:lvl w:ilvl="0" w:tplc="FFFFFFFF">
      <w:start w:val="1"/>
      <w:numFmt w:val="decimal"/>
      <w:lvlText w:val="(%1)"/>
      <w:lvlJc w:val="left"/>
      <w:pPr>
        <w:ind w:left="720" w:hanging="360"/>
      </w:pPr>
      <w:rPr>
        <w:rFonts w:ascii="Arial" w:hAnsi="Arial" w:hint="default"/>
        <w:b w:val="0"/>
        <w:i w:val="0"/>
        <w:sz w:val="1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8B2A2F82">
      <w:start w:val="1"/>
      <w:numFmt w:val="decimal"/>
      <w:lvlText w:val="(%6)"/>
      <w:lvlJc w:val="left"/>
      <w:pPr>
        <w:ind w:left="4320" w:hanging="180"/>
      </w:pPr>
      <w:rPr>
        <w:rFonts w:ascii="Arial" w:hAnsi="Arial" w:hint="default"/>
        <w:b w:val="0"/>
        <w:i w:val="0"/>
        <w:sz w:val="20"/>
        <w:szCs w:val="20"/>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AA5603E"/>
    <w:multiLevelType w:val="multilevel"/>
    <w:tmpl w:val="6A84DEAE"/>
    <w:name w:val="DocXtoolsCompanion_14"/>
    <w:styleLink w:val="CurrentList2"/>
    <w:lvl w:ilvl="0">
      <w:numFmt w:val="bullet"/>
      <w:lvlText w:val=""/>
      <w:lvlJc w:val="left"/>
      <w:pPr>
        <w:ind w:left="720" w:hanging="720"/>
      </w:pPr>
      <w:rPr>
        <w:rFonts w:ascii="Symbol" w:hAnsi="Symbol" w:hint="default"/>
      </w:rPr>
    </w:lvl>
    <w:lvl w:ilvl="1">
      <w:start w:val="1"/>
      <w:numFmt w:val="bullet"/>
      <w:lvlText w:val=""/>
      <w:lvlJc w:val="left"/>
      <w:pPr>
        <w:ind w:left="1440" w:hanging="720"/>
      </w:pPr>
      <w:rPr>
        <w:rFonts w:ascii="Symbol" w:hAnsi="Symbol" w:hint="default"/>
        <w:color w:val="auto"/>
      </w:rPr>
    </w:lvl>
    <w:lvl w:ilvl="2">
      <w:start w:val="1"/>
      <w:numFmt w:val="bullet"/>
      <w:lvlText w:val=""/>
      <w:lvlJc w:val="left"/>
      <w:pPr>
        <w:ind w:left="2160" w:hanging="720"/>
      </w:pPr>
      <w:rPr>
        <w:rFonts w:ascii="Wingdings" w:hAnsi="Wingdings" w:hint="default"/>
      </w:rPr>
    </w:lvl>
    <w:lvl w:ilvl="3">
      <w:start w:val="1"/>
      <w:numFmt w:val="bullet"/>
      <w:lvlText w:val=""/>
      <w:lvlJc w:val="left"/>
      <w:pPr>
        <w:ind w:left="2880" w:hanging="720"/>
      </w:pPr>
      <w:rPr>
        <w:rFonts w:ascii="Symbol" w:hAnsi="Symbol" w:hint="default"/>
      </w:rPr>
    </w:lvl>
    <w:lvl w:ilvl="4">
      <w:start w:val="1"/>
      <w:numFmt w:val="bullet"/>
      <w:lvlText w:val="o"/>
      <w:lvlJc w:val="left"/>
      <w:pPr>
        <w:ind w:left="12930" w:hanging="360"/>
      </w:pPr>
      <w:rPr>
        <w:rFonts w:ascii="Courier New" w:hAnsi="Courier New" w:cs="Courier New" w:hint="default"/>
      </w:rPr>
    </w:lvl>
    <w:lvl w:ilvl="5">
      <w:start w:val="1"/>
      <w:numFmt w:val="bullet"/>
      <w:lvlText w:val=""/>
      <w:lvlJc w:val="left"/>
      <w:pPr>
        <w:ind w:left="13650" w:hanging="360"/>
      </w:pPr>
      <w:rPr>
        <w:rFonts w:ascii="Wingdings" w:hAnsi="Wingdings" w:hint="default"/>
      </w:rPr>
    </w:lvl>
    <w:lvl w:ilvl="6">
      <w:start w:val="1"/>
      <w:numFmt w:val="bullet"/>
      <w:lvlText w:val=""/>
      <w:lvlJc w:val="left"/>
      <w:pPr>
        <w:ind w:left="14370" w:hanging="360"/>
      </w:pPr>
      <w:rPr>
        <w:rFonts w:ascii="Symbol" w:hAnsi="Symbol" w:hint="default"/>
      </w:rPr>
    </w:lvl>
    <w:lvl w:ilvl="7">
      <w:start w:val="1"/>
      <w:numFmt w:val="bullet"/>
      <w:lvlText w:val="o"/>
      <w:lvlJc w:val="left"/>
      <w:pPr>
        <w:ind w:left="15090" w:hanging="360"/>
      </w:pPr>
      <w:rPr>
        <w:rFonts w:ascii="Courier New" w:hAnsi="Courier New" w:cs="Courier New" w:hint="default"/>
      </w:rPr>
    </w:lvl>
    <w:lvl w:ilvl="8">
      <w:start w:val="1"/>
      <w:numFmt w:val="bullet"/>
      <w:lvlText w:val=""/>
      <w:lvlJc w:val="left"/>
      <w:pPr>
        <w:ind w:left="15810" w:hanging="360"/>
      </w:pPr>
      <w:rPr>
        <w:rFonts w:ascii="Wingdings" w:hAnsi="Wingdings" w:hint="default"/>
      </w:rPr>
    </w:lvl>
  </w:abstractNum>
  <w:abstractNum w:abstractNumId="15" w15:restartNumberingAfterBreak="0">
    <w:nsid w:val="1E391DED"/>
    <w:multiLevelType w:val="hybridMultilevel"/>
    <w:tmpl w:val="643E12C2"/>
    <w:name w:val="DocXtoolsCompanion_15"/>
    <w:lvl w:ilvl="0" w:tplc="3DD48246">
      <w:start w:val="1"/>
      <w:numFmt w:val="decimal"/>
      <w:lvlText w:val="(%1)"/>
      <w:lvlJc w:val="left"/>
      <w:pPr>
        <w:ind w:left="720" w:hanging="360"/>
      </w:pPr>
      <w:rPr>
        <w:rFonts w:ascii="Arial" w:hAnsi="Arial" w:hint="default"/>
        <w:b w:val="0"/>
        <w:i w:val="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1D92B8B"/>
    <w:multiLevelType w:val="hybridMultilevel"/>
    <w:tmpl w:val="0EA41D10"/>
    <w:name w:val="DocXtoolsCompanion_16"/>
    <w:lvl w:ilvl="0" w:tplc="04090017">
      <w:start w:val="1"/>
      <w:numFmt w:val="lowerLetter"/>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17" w15:restartNumberingAfterBreak="0">
    <w:nsid w:val="37323708"/>
    <w:multiLevelType w:val="multilevel"/>
    <w:tmpl w:val="5D921C2C"/>
    <w:name w:val="Standard 1"/>
    <w:lvl w:ilvl="0">
      <w:start w:val="1"/>
      <w:numFmt w:val="decimal"/>
      <w:pStyle w:val="Heading1"/>
      <w:lvlText w:val="%1."/>
      <w:lvlJc w:val="left"/>
      <w:pPr>
        <w:tabs>
          <w:tab w:val="num" w:pos="720"/>
        </w:tabs>
        <w:ind w:left="720" w:hanging="720"/>
      </w:pPr>
      <w:rPr>
        <w:b w:val="0"/>
        <w:caps w:val="0"/>
        <w:color w:val="010000"/>
        <w:u w:val="none"/>
      </w:rPr>
    </w:lvl>
    <w:lvl w:ilvl="1">
      <w:start w:val="1"/>
      <w:numFmt w:val="lowerLetter"/>
      <w:pStyle w:val="Heading2"/>
      <w:lvlText w:val="(%2)"/>
      <w:lvlJc w:val="left"/>
      <w:pPr>
        <w:tabs>
          <w:tab w:val="num" w:pos="1440"/>
        </w:tabs>
        <w:ind w:left="1440" w:hanging="720"/>
      </w:pPr>
      <w:rPr>
        <w:b/>
        <w:bCs/>
        <w:caps w:val="0"/>
        <w:color w:val="000000"/>
        <w:u w:val="none"/>
      </w:rPr>
    </w:lvl>
    <w:lvl w:ilvl="2">
      <w:start w:val="1"/>
      <w:numFmt w:val="lowerRoman"/>
      <w:pStyle w:val="Heading3"/>
      <w:lvlText w:val="(%3)"/>
      <w:lvlJc w:val="left"/>
      <w:pPr>
        <w:tabs>
          <w:tab w:val="num" w:pos="2160"/>
        </w:tabs>
        <w:ind w:left="2160" w:hanging="720"/>
      </w:pPr>
      <w:rPr>
        <w:caps w:val="0"/>
        <w:color w:val="010000"/>
        <w:u w:val="none"/>
      </w:rPr>
    </w:lvl>
    <w:lvl w:ilvl="3">
      <w:start w:val="1"/>
      <w:numFmt w:val="upperLetter"/>
      <w:pStyle w:val="Heading4"/>
      <w:lvlText w:val="%4."/>
      <w:lvlJc w:val="left"/>
      <w:pPr>
        <w:tabs>
          <w:tab w:val="num" w:pos="2880"/>
        </w:tabs>
        <w:ind w:left="2880" w:hanging="720"/>
      </w:pPr>
      <w:rPr>
        <w:caps w:val="0"/>
        <w:color w:val="010000"/>
        <w:u w:val="none"/>
      </w:rPr>
    </w:lvl>
    <w:lvl w:ilvl="4">
      <w:start w:val="1"/>
      <w:numFmt w:val="upperRoman"/>
      <w:pStyle w:val="Heading5"/>
      <w:lvlText w:val="%5."/>
      <w:lvlJc w:val="left"/>
      <w:pPr>
        <w:tabs>
          <w:tab w:val="num" w:pos="3600"/>
        </w:tabs>
        <w:ind w:left="3600" w:hanging="720"/>
      </w:pPr>
      <w:rPr>
        <w:caps w:val="0"/>
        <w:color w:val="010000"/>
        <w:u w:val="none"/>
      </w:rPr>
    </w:lvl>
    <w:lvl w:ilvl="5">
      <w:start w:val="1"/>
      <w:numFmt w:val="decimal"/>
      <w:pStyle w:val="Heading6"/>
      <w:lvlText w:val="(%6)"/>
      <w:lvlJc w:val="left"/>
      <w:pPr>
        <w:tabs>
          <w:tab w:val="num" w:pos="4320"/>
        </w:tabs>
        <w:ind w:left="4320" w:hanging="720"/>
      </w:pPr>
      <w:rPr>
        <w:caps w:val="0"/>
        <w:color w:val="010000"/>
        <w:u w:val="none"/>
      </w:rPr>
    </w:lvl>
    <w:lvl w:ilvl="6">
      <w:start w:val="1"/>
      <w:numFmt w:val="lowerLetter"/>
      <w:pStyle w:val="Heading7"/>
      <w:lvlText w:val="%7."/>
      <w:lvlJc w:val="left"/>
      <w:pPr>
        <w:tabs>
          <w:tab w:val="num" w:pos="5040"/>
        </w:tabs>
        <w:ind w:left="5040" w:hanging="720"/>
      </w:pPr>
      <w:rPr>
        <w:caps w:val="0"/>
        <w:color w:val="010000"/>
        <w:u w:val="none"/>
      </w:rPr>
    </w:lvl>
    <w:lvl w:ilvl="7">
      <w:start w:val="1"/>
      <w:numFmt w:val="decimal"/>
      <w:pStyle w:val="Heading8"/>
      <w:lvlText w:val="%8."/>
      <w:lvlJc w:val="left"/>
      <w:pPr>
        <w:tabs>
          <w:tab w:val="num" w:pos="5760"/>
        </w:tabs>
        <w:ind w:left="5760" w:hanging="720"/>
      </w:pPr>
      <w:rPr>
        <w:caps w:val="0"/>
        <w:color w:val="010000"/>
        <w:u w:val="none"/>
      </w:rPr>
    </w:lvl>
    <w:lvl w:ilvl="8">
      <w:start w:val="1"/>
      <w:numFmt w:val="upperLetter"/>
      <w:pStyle w:val="Heading9"/>
      <w:lvlText w:val="%9."/>
      <w:lvlJc w:val="left"/>
      <w:pPr>
        <w:tabs>
          <w:tab w:val="num" w:pos="6480"/>
        </w:tabs>
        <w:ind w:left="6480" w:hanging="720"/>
      </w:pPr>
      <w:rPr>
        <w:b w:val="0"/>
        <w:bCs w:val="0"/>
        <w:i w:val="0"/>
        <w:iCs w:val="0"/>
        <w:caps w:val="0"/>
        <w:smallCaps w:val="0"/>
        <w:strike w:val="0"/>
        <w:dstrike w:val="0"/>
        <w:noProof w:val="0"/>
        <w:vanish w:val="0"/>
        <w:color w:val="01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18" w15:restartNumberingAfterBreak="0">
    <w:nsid w:val="51D52FAA"/>
    <w:multiLevelType w:val="hybridMultilevel"/>
    <w:tmpl w:val="9586C7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55CA62D6"/>
    <w:multiLevelType w:val="hybridMultilevel"/>
    <w:tmpl w:val="B9D6E692"/>
    <w:name w:val="DocXtoolsCompanion_18"/>
    <w:lvl w:ilvl="0" w:tplc="0610E7AA">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441962"/>
    <w:multiLevelType w:val="multilevel"/>
    <w:tmpl w:val="1068B178"/>
    <w:lvl w:ilvl="0">
      <w:numFmt w:val="bullet"/>
      <w:pStyle w:val="Bullet1"/>
      <w:lvlText w:val=""/>
      <w:lvlJc w:val="left"/>
      <w:pPr>
        <w:ind w:left="720" w:hanging="720"/>
      </w:pPr>
      <w:rPr>
        <w:rFonts w:ascii="Symbol" w:hAnsi="Symbol" w:hint="default"/>
      </w:rPr>
    </w:lvl>
    <w:lvl w:ilvl="1">
      <w:start w:val="1"/>
      <w:numFmt w:val="bullet"/>
      <w:pStyle w:val="Bullet2"/>
      <w:lvlText w:val=""/>
      <w:lvlJc w:val="left"/>
      <w:pPr>
        <w:ind w:left="1080" w:hanging="360"/>
      </w:pPr>
      <w:rPr>
        <w:rFonts w:ascii="Symbol" w:hAnsi="Symbol" w:hint="default"/>
        <w:color w:val="auto"/>
      </w:rPr>
    </w:lvl>
    <w:lvl w:ilvl="2">
      <w:start w:val="1"/>
      <w:numFmt w:val="bullet"/>
      <w:pStyle w:val="Bullet3"/>
      <w:lvlText w:val=""/>
      <w:lvlJc w:val="left"/>
      <w:pPr>
        <w:ind w:left="2160" w:hanging="720"/>
      </w:pPr>
      <w:rPr>
        <w:rFonts w:ascii="Wingdings" w:hAnsi="Wingdings" w:hint="default"/>
      </w:rPr>
    </w:lvl>
    <w:lvl w:ilvl="3">
      <w:start w:val="1"/>
      <w:numFmt w:val="bullet"/>
      <w:pStyle w:val="Bullet4"/>
      <w:lvlText w:val=""/>
      <w:lvlJc w:val="left"/>
      <w:pPr>
        <w:ind w:left="2880" w:hanging="720"/>
      </w:pPr>
      <w:rPr>
        <w:rFonts w:ascii="Symbol" w:hAnsi="Symbol" w:hint="default"/>
      </w:rPr>
    </w:lvl>
    <w:lvl w:ilvl="4">
      <w:start w:val="1"/>
      <w:numFmt w:val="bullet"/>
      <w:lvlText w:val="o"/>
      <w:lvlJc w:val="left"/>
      <w:pPr>
        <w:ind w:left="12930" w:hanging="360"/>
      </w:pPr>
      <w:rPr>
        <w:rFonts w:ascii="Courier New" w:hAnsi="Courier New" w:cs="Courier New" w:hint="default"/>
      </w:rPr>
    </w:lvl>
    <w:lvl w:ilvl="5">
      <w:start w:val="1"/>
      <w:numFmt w:val="bullet"/>
      <w:lvlText w:val=""/>
      <w:lvlJc w:val="left"/>
      <w:pPr>
        <w:ind w:left="13650" w:hanging="360"/>
      </w:pPr>
      <w:rPr>
        <w:rFonts w:ascii="Wingdings" w:hAnsi="Wingdings" w:hint="default"/>
      </w:rPr>
    </w:lvl>
    <w:lvl w:ilvl="6">
      <w:start w:val="1"/>
      <w:numFmt w:val="bullet"/>
      <w:lvlText w:val=""/>
      <w:lvlJc w:val="left"/>
      <w:pPr>
        <w:ind w:left="14370" w:hanging="360"/>
      </w:pPr>
      <w:rPr>
        <w:rFonts w:ascii="Symbol" w:hAnsi="Symbol" w:hint="default"/>
      </w:rPr>
    </w:lvl>
    <w:lvl w:ilvl="7">
      <w:start w:val="1"/>
      <w:numFmt w:val="bullet"/>
      <w:lvlText w:val="o"/>
      <w:lvlJc w:val="left"/>
      <w:pPr>
        <w:ind w:left="15090" w:hanging="360"/>
      </w:pPr>
      <w:rPr>
        <w:rFonts w:ascii="Courier New" w:hAnsi="Courier New" w:cs="Courier New" w:hint="default"/>
      </w:rPr>
    </w:lvl>
    <w:lvl w:ilvl="8">
      <w:start w:val="1"/>
      <w:numFmt w:val="bullet"/>
      <w:lvlText w:val=""/>
      <w:lvlJc w:val="left"/>
      <w:pPr>
        <w:ind w:left="15810" w:hanging="360"/>
      </w:pPr>
      <w:rPr>
        <w:rFonts w:ascii="Wingdings" w:hAnsi="Wingdings" w:hint="default"/>
      </w:rPr>
    </w:lvl>
  </w:abstractNum>
  <w:abstractNum w:abstractNumId="21" w15:restartNumberingAfterBreak="0">
    <w:nsid w:val="74484A6A"/>
    <w:multiLevelType w:val="multilevel"/>
    <w:tmpl w:val="AAECAED6"/>
    <w:lvl w:ilvl="0">
      <w:start w:val="1"/>
      <w:numFmt w:val="lowerRoman"/>
      <w:suff w:val="space"/>
      <w:lvlText w:val="%1)"/>
      <w:lvlJc w:val="left"/>
      <w:pPr>
        <w:ind w:left="0" w:firstLine="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79300574"/>
    <w:multiLevelType w:val="multilevel"/>
    <w:tmpl w:val="C44C4B14"/>
    <w:name w:val="DocXtoolsCompanion_20"/>
    <w:lvl w:ilvl="0">
      <w:numFmt w:val="bullet"/>
      <w:lvlText w:val=""/>
      <w:lvlJc w:val="left"/>
      <w:pPr>
        <w:ind w:left="5400" w:hanging="360"/>
      </w:pPr>
      <w:rPr>
        <w:rFonts w:ascii="Symbol" w:hAnsi="Symbol" w:hint="default"/>
      </w:rPr>
    </w:lvl>
    <w:lvl w:ilvl="1">
      <w:start w:val="1"/>
      <w:numFmt w:val="bullet"/>
      <w:lvlText w:val="o"/>
      <w:lvlJc w:val="left"/>
      <w:pPr>
        <w:ind w:left="5760" w:hanging="360"/>
      </w:pPr>
      <w:rPr>
        <w:rFonts w:ascii="Courier New" w:hAnsi="Courier New" w:hint="default"/>
      </w:rPr>
    </w:lvl>
    <w:lvl w:ilvl="2">
      <w:start w:val="1"/>
      <w:numFmt w:val="bullet"/>
      <w:lvlText w:val=""/>
      <w:lvlJc w:val="left"/>
      <w:pPr>
        <w:ind w:left="6120" w:hanging="360"/>
      </w:pPr>
      <w:rPr>
        <w:rFonts w:ascii="Wingdings" w:hAnsi="Wingdings" w:hint="default"/>
      </w:rPr>
    </w:lvl>
    <w:lvl w:ilvl="3">
      <w:start w:val="1"/>
      <w:numFmt w:val="bullet"/>
      <w:lvlText w:val=""/>
      <w:lvlJc w:val="left"/>
      <w:pPr>
        <w:ind w:left="9270" w:hanging="360"/>
      </w:pPr>
      <w:rPr>
        <w:rFonts w:ascii="Symbol" w:hAnsi="Symbol" w:hint="default"/>
      </w:rPr>
    </w:lvl>
    <w:lvl w:ilvl="4">
      <w:start w:val="1"/>
      <w:numFmt w:val="bullet"/>
      <w:lvlText w:val="o"/>
      <w:lvlJc w:val="left"/>
      <w:pPr>
        <w:ind w:left="12930" w:hanging="360"/>
      </w:pPr>
      <w:rPr>
        <w:rFonts w:ascii="Courier New" w:hAnsi="Courier New" w:cs="Courier New" w:hint="default"/>
      </w:rPr>
    </w:lvl>
    <w:lvl w:ilvl="5">
      <w:start w:val="1"/>
      <w:numFmt w:val="bullet"/>
      <w:lvlText w:val=""/>
      <w:lvlJc w:val="left"/>
      <w:pPr>
        <w:ind w:left="13650" w:hanging="360"/>
      </w:pPr>
      <w:rPr>
        <w:rFonts w:ascii="Wingdings" w:hAnsi="Wingdings" w:hint="default"/>
      </w:rPr>
    </w:lvl>
    <w:lvl w:ilvl="6">
      <w:start w:val="1"/>
      <w:numFmt w:val="bullet"/>
      <w:lvlText w:val=""/>
      <w:lvlJc w:val="left"/>
      <w:pPr>
        <w:ind w:left="14370" w:hanging="360"/>
      </w:pPr>
      <w:rPr>
        <w:rFonts w:ascii="Symbol" w:hAnsi="Symbol" w:hint="default"/>
      </w:rPr>
    </w:lvl>
    <w:lvl w:ilvl="7">
      <w:start w:val="1"/>
      <w:numFmt w:val="bullet"/>
      <w:lvlText w:val="o"/>
      <w:lvlJc w:val="left"/>
      <w:pPr>
        <w:ind w:left="15090" w:hanging="360"/>
      </w:pPr>
      <w:rPr>
        <w:rFonts w:ascii="Courier New" w:hAnsi="Courier New" w:cs="Courier New" w:hint="default"/>
      </w:rPr>
    </w:lvl>
    <w:lvl w:ilvl="8">
      <w:start w:val="1"/>
      <w:numFmt w:val="bullet"/>
      <w:lvlText w:val=""/>
      <w:lvlJc w:val="left"/>
      <w:pPr>
        <w:ind w:left="15810" w:hanging="360"/>
      </w:pPr>
      <w:rPr>
        <w:rFonts w:ascii="Wingdings" w:hAnsi="Wingdings" w:hint="default"/>
      </w:rPr>
    </w:lvl>
  </w:abstractNum>
  <w:abstractNum w:abstractNumId="23" w15:restartNumberingAfterBreak="0">
    <w:nsid w:val="7F110AFD"/>
    <w:multiLevelType w:val="hybridMultilevel"/>
    <w:tmpl w:val="52FAB59E"/>
    <w:name w:val="DocXtoolsCompanion_21"/>
    <w:lvl w:ilvl="0" w:tplc="475C032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E41C1D"/>
    <w:multiLevelType w:val="multilevel"/>
    <w:tmpl w:val="82C65B88"/>
    <w:name w:val="DocXtoolsCompanion_22"/>
    <w:styleLink w:val="CurrentList1"/>
    <w:lvl w:ilvl="0">
      <w:numFmt w:val="bullet"/>
      <w:lvlText w:val=""/>
      <w:lvlJc w:val="left"/>
      <w:pPr>
        <w:ind w:left="720" w:hanging="720"/>
      </w:pPr>
      <w:rPr>
        <w:rFonts w:ascii="Symbol" w:hAnsi="Symbol" w:hint="default"/>
      </w:rPr>
    </w:lvl>
    <w:lvl w:ilvl="1">
      <w:start w:val="1"/>
      <w:numFmt w:val="bullet"/>
      <w:lvlText w:val="o"/>
      <w:lvlJc w:val="left"/>
      <w:pPr>
        <w:ind w:left="1440" w:hanging="720"/>
      </w:pPr>
      <w:rPr>
        <w:rFonts w:ascii="Courier New" w:hAnsi="Courier New" w:hint="default"/>
      </w:rPr>
    </w:lvl>
    <w:lvl w:ilvl="2">
      <w:start w:val="1"/>
      <w:numFmt w:val="bullet"/>
      <w:lvlText w:val=""/>
      <w:lvlJc w:val="left"/>
      <w:pPr>
        <w:ind w:left="2160" w:hanging="720"/>
      </w:pPr>
      <w:rPr>
        <w:rFonts w:ascii="Wingdings" w:hAnsi="Wingdings" w:hint="default"/>
      </w:rPr>
    </w:lvl>
    <w:lvl w:ilvl="3">
      <w:start w:val="1"/>
      <w:numFmt w:val="bullet"/>
      <w:lvlText w:val=""/>
      <w:lvlJc w:val="left"/>
      <w:pPr>
        <w:ind w:left="2880" w:hanging="720"/>
      </w:pPr>
      <w:rPr>
        <w:rFonts w:ascii="Symbol" w:hAnsi="Symbol" w:hint="default"/>
      </w:rPr>
    </w:lvl>
    <w:lvl w:ilvl="4">
      <w:start w:val="1"/>
      <w:numFmt w:val="bullet"/>
      <w:lvlText w:val="o"/>
      <w:lvlJc w:val="left"/>
      <w:pPr>
        <w:ind w:left="12930" w:hanging="360"/>
      </w:pPr>
      <w:rPr>
        <w:rFonts w:ascii="Courier New" w:hAnsi="Courier New" w:cs="Courier New" w:hint="default"/>
      </w:rPr>
    </w:lvl>
    <w:lvl w:ilvl="5">
      <w:start w:val="1"/>
      <w:numFmt w:val="bullet"/>
      <w:lvlText w:val=""/>
      <w:lvlJc w:val="left"/>
      <w:pPr>
        <w:ind w:left="13650" w:hanging="360"/>
      </w:pPr>
      <w:rPr>
        <w:rFonts w:ascii="Wingdings" w:hAnsi="Wingdings" w:hint="default"/>
      </w:rPr>
    </w:lvl>
    <w:lvl w:ilvl="6">
      <w:start w:val="1"/>
      <w:numFmt w:val="bullet"/>
      <w:lvlText w:val=""/>
      <w:lvlJc w:val="left"/>
      <w:pPr>
        <w:ind w:left="14370" w:hanging="360"/>
      </w:pPr>
      <w:rPr>
        <w:rFonts w:ascii="Symbol" w:hAnsi="Symbol" w:hint="default"/>
      </w:rPr>
    </w:lvl>
    <w:lvl w:ilvl="7">
      <w:start w:val="1"/>
      <w:numFmt w:val="bullet"/>
      <w:lvlText w:val="o"/>
      <w:lvlJc w:val="left"/>
      <w:pPr>
        <w:ind w:left="15090" w:hanging="360"/>
      </w:pPr>
      <w:rPr>
        <w:rFonts w:ascii="Courier New" w:hAnsi="Courier New" w:cs="Courier New" w:hint="default"/>
      </w:rPr>
    </w:lvl>
    <w:lvl w:ilvl="8">
      <w:start w:val="1"/>
      <w:numFmt w:val="bullet"/>
      <w:lvlText w:val=""/>
      <w:lvlJc w:val="left"/>
      <w:pPr>
        <w:ind w:left="15810" w:hanging="360"/>
      </w:pPr>
      <w:rPr>
        <w:rFonts w:ascii="Wingdings" w:hAnsi="Wingdings" w:hint="default"/>
      </w:rPr>
    </w:lvl>
  </w:abstractNum>
  <w:num w:numId="1" w16cid:durableId="315571035">
    <w:abstractNumId w:val="20"/>
  </w:num>
  <w:num w:numId="2" w16cid:durableId="174268849">
    <w:abstractNumId w:val="17"/>
  </w:num>
  <w:num w:numId="3" w16cid:durableId="371927034">
    <w:abstractNumId w:val="9"/>
  </w:num>
  <w:num w:numId="4" w16cid:durableId="1706711047">
    <w:abstractNumId w:val="7"/>
  </w:num>
  <w:num w:numId="5" w16cid:durableId="54938859">
    <w:abstractNumId w:val="6"/>
  </w:num>
  <w:num w:numId="6" w16cid:durableId="1193491875">
    <w:abstractNumId w:val="5"/>
  </w:num>
  <w:num w:numId="7" w16cid:durableId="2132549071">
    <w:abstractNumId w:val="4"/>
  </w:num>
  <w:num w:numId="8" w16cid:durableId="1184636347">
    <w:abstractNumId w:val="8"/>
  </w:num>
  <w:num w:numId="9" w16cid:durableId="2138837588">
    <w:abstractNumId w:val="3"/>
  </w:num>
  <w:num w:numId="10" w16cid:durableId="2100057631">
    <w:abstractNumId w:val="2"/>
  </w:num>
  <w:num w:numId="11" w16cid:durableId="498080332">
    <w:abstractNumId w:val="1"/>
  </w:num>
  <w:num w:numId="12" w16cid:durableId="429816421">
    <w:abstractNumId w:val="0"/>
  </w:num>
  <w:num w:numId="13" w16cid:durableId="941228962">
    <w:abstractNumId w:val="24"/>
  </w:num>
  <w:num w:numId="14" w16cid:durableId="740297430">
    <w:abstractNumId w:val="14"/>
  </w:num>
  <w:num w:numId="15" w16cid:durableId="272785697">
    <w:abstractNumId w:val="21"/>
  </w:num>
  <w:num w:numId="16" w16cid:durableId="1387490046">
    <w:abstractNumId w:val="12"/>
  </w:num>
  <w:num w:numId="17" w16cid:durableId="1823698360">
    <w:abstractNumId w:val="15"/>
  </w:num>
  <w:num w:numId="18" w16cid:durableId="182208260">
    <w:abstractNumId w:val="16"/>
  </w:num>
  <w:num w:numId="19" w16cid:durableId="608704836">
    <w:abstractNumId w:val="11"/>
  </w:num>
  <w:num w:numId="20" w16cid:durableId="2129275015">
    <w:abstractNumId w:val="10"/>
  </w:num>
  <w:num w:numId="21" w16cid:durableId="248274705">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0CE"/>
    <w:rsid w:val="000023B7"/>
    <w:rsid w:val="00004DED"/>
    <w:rsid w:val="000124F5"/>
    <w:rsid w:val="00023821"/>
    <w:rsid w:val="00024965"/>
    <w:rsid w:val="00030036"/>
    <w:rsid w:val="000339A2"/>
    <w:rsid w:val="00037702"/>
    <w:rsid w:val="000511C9"/>
    <w:rsid w:val="00052BEA"/>
    <w:rsid w:val="00054955"/>
    <w:rsid w:val="00056ADC"/>
    <w:rsid w:val="00081A64"/>
    <w:rsid w:val="00082110"/>
    <w:rsid w:val="0008583D"/>
    <w:rsid w:val="00087F21"/>
    <w:rsid w:val="0009704B"/>
    <w:rsid w:val="000C2880"/>
    <w:rsid w:val="001159E6"/>
    <w:rsid w:val="0014238B"/>
    <w:rsid w:val="001526D4"/>
    <w:rsid w:val="0017245B"/>
    <w:rsid w:val="001A2AAA"/>
    <w:rsid w:val="001C6596"/>
    <w:rsid w:val="001D45DE"/>
    <w:rsid w:val="001D6BED"/>
    <w:rsid w:val="001E0C26"/>
    <w:rsid w:val="001E11B9"/>
    <w:rsid w:val="001F1254"/>
    <w:rsid w:val="001F1ECB"/>
    <w:rsid w:val="001F3F76"/>
    <w:rsid w:val="002132EE"/>
    <w:rsid w:val="002151AA"/>
    <w:rsid w:val="00244D25"/>
    <w:rsid w:val="002476C8"/>
    <w:rsid w:val="00251DF6"/>
    <w:rsid w:val="002A657B"/>
    <w:rsid w:val="002B0383"/>
    <w:rsid w:val="002D2FF8"/>
    <w:rsid w:val="002E7B35"/>
    <w:rsid w:val="003066B4"/>
    <w:rsid w:val="0036349F"/>
    <w:rsid w:val="00371CD5"/>
    <w:rsid w:val="00377BF6"/>
    <w:rsid w:val="003A5EA5"/>
    <w:rsid w:val="003B4754"/>
    <w:rsid w:val="003B5D78"/>
    <w:rsid w:val="003C0C06"/>
    <w:rsid w:val="003D1A61"/>
    <w:rsid w:val="003D26F9"/>
    <w:rsid w:val="003D36E6"/>
    <w:rsid w:val="003D5532"/>
    <w:rsid w:val="00403DD8"/>
    <w:rsid w:val="00413DBE"/>
    <w:rsid w:val="00417C27"/>
    <w:rsid w:val="00420E89"/>
    <w:rsid w:val="004211BA"/>
    <w:rsid w:val="00451713"/>
    <w:rsid w:val="00460822"/>
    <w:rsid w:val="004629B2"/>
    <w:rsid w:val="00472735"/>
    <w:rsid w:val="00481BE7"/>
    <w:rsid w:val="00485781"/>
    <w:rsid w:val="004B4A02"/>
    <w:rsid w:val="004B6DEC"/>
    <w:rsid w:val="004C660C"/>
    <w:rsid w:val="004D3EBE"/>
    <w:rsid w:val="004F4AE3"/>
    <w:rsid w:val="004F7538"/>
    <w:rsid w:val="0053310B"/>
    <w:rsid w:val="00541627"/>
    <w:rsid w:val="00547FC9"/>
    <w:rsid w:val="00562276"/>
    <w:rsid w:val="00574EAB"/>
    <w:rsid w:val="00594D4F"/>
    <w:rsid w:val="005A7964"/>
    <w:rsid w:val="005C18A6"/>
    <w:rsid w:val="005D0D4A"/>
    <w:rsid w:val="005D20C8"/>
    <w:rsid w:val="005F76BA"/>
    <w:rsid w:val="005F7A8D"/>
    <w:rsid w:val="006144F4"/>
    <w:rsid w:val="00645F81"/>
    <w:rsid w:val="00661D8A"/>
    <w:rsid w:val="00666872"/>
    <w:rsid w:val="0068368B"/>
    <w:rsid w:val="00691F46"/>
    <w:rsid w:val="00695B16"/>
    <w:rsid w:val="006B3705"/>
    <w:rsid w:val="006B3B45"/>
    <w:rsid w:val="006C4549"/>
    <w:rsid w:val="006C4A32"/>
    <w:rsid w:val="007231CA"/>
    <w:rsid w:val="0072679D"/>
    <w:rsid w:val="00726E03"/>
    <w:rsid w:val="007279A3"/>
    <w:rsid w:val="00751D25"/>
    <w:rsid w:val="007717D5"/>
    <w:rsid w:val="00792081"/>
    <w:rsid w:val="007A3808"/>
    <w:rsid w:val="007A60FA"/>
    <w:rsid w:val="007B6A98"/>
    <w:rsid w:val="007C2117"/>
    <w:rsid w:val="007C3CA2"/>
    <w:rsid w:val="007D4F50"/>
    <w:rsid w:val="007E4EAE"/>
    <w:rsid w:val="007F23FD"/>
    <w:rsid w:val="008012E1"/>
    <w:rsid w:val="0080754D"/>
    <w:rsid w:val="00807ACC"/>
    <w:rsid w:val="00810D32"/>
    <w:rsid w:val="00824B6A"/>
    <w:rsid w:val="008315BF"/>
    <w:rsid w:val="00845F1D"/>
    <w:rsid w:val="00846376"/>
    <w:rsid w:val="00890ECD"/>
    <w:rsid w:val="0089493F"/>
    <w:rsid w:val="008962F3"/>
    <w:rsid w:val="008A0611"/>
    <w:rsid w:val="008B1B50"/>
    <w:rsid w:val="008B620D"/>
    <w:rsid w:val="008C035C"/>
    <w:rsid w:val="008C30B7"/>
    <w:rsid w:val="008F734B"/>
    <w:rsid w:val="00915947"/>
    <w:rsid w:val="00916932"/>
    <w:rsid w:val="00933715"/>
    <w:rsid w:val="00937C3F"/>
    <w:rsid w:val="00942376"/>
    <w:rsid w:val="00962C01"/>
    <w:rsid w:val="00966860"/>
    <w:rsid w:val="0098023B"/>
    <w:rsid w:val="009853CE"/>
    <w:rsid w:val="0098634C"/>
    <w:rsid w:val="009B276F"/>
    <w:rsid w:val="009B2D7F"/>
    <w:rsid w:val="009D2673"/>
    <w:rsid w:val="009D7BB3"/>
    <w:rsid w:val="009E2D01"/>
    <w:rsid w:val="009F15B1"/>
    <w:rsid w:val="009F1DF8"/>
    <w:rsid w:val="009F7DAF"/>
    <w:rsid w:val="00A128B8"/>
    <w:rsid w:val="00A31873"/>
    <w:rsid w:val="00A34B93"/>
    <w:rsid w:val="00A45DCF"/>
    <w:rsid w:val="00A565B3"/>
    <w:rsid w:val="00A6092F"/>
    <w:rsid w:val="00A640CE"/>
    <w:rsid w:val="00A82C1E"/>
    <w:rsid w:val="00A92734"/>
    <w:rsid w:val="00AB2B99"/>
    <w:rsid w:val="00AB2EDC"/>
    <w:rsid w:val="00AB6248"/>
    <w:rsid w:val="00AC07D0"/>
    <w:rsid w:val="00AC145F"/>
    <w:rsid w:val="00AC2E8C"/>
    <w:rsid w:val="00AD1CFF"/>
    <w:rsid w:val="00AF5F5E"/>
    <w:rsid w:val="00B002F8"/>
    <w:rsid w:val="00B02CA2"/>
    <w:rsid w:val="00B2432F"/>
    <w:rsid w:val="00B312C6"/>
    <w:rsid w:val="00B4162E"/>
    <w:rsid w:val="00B702AA"/>
    <w:rsid w:val="00B809BE"/>
    <w:rsid w:val="00B81B07"/>
    <w:rsid w:val="00B82408"/>
    <w:rsid w:val="00B8741E"/>
    <w:rsid w:val="00B92539"/>
    <w:rsid w:val="00BD57D0"/>
    <w:rsid w:val="00BF6E25"/>
    <w:rsid w:val="00C36ACB"/>
    <w:rsid w:val="00C36AE3"/>
    <w:rsid w:val="00C4077F"/>
    <w:rsid w:val="00C95F7D"/>
    <w:rsid w:val="00C97BCA"/>
    <w:rsid w:val="00CA5AD1"/>
    <w:rsid w:val="00CC2CCE"/>
    <w:rsid w:val="00CC4872"/>
    <w:rsid w:val="00CC7B6C"/>
    <w:rsid w:val="00CF5398"/>
    <w:rsid w:val="00D07790"/>
    <w:rsid w:val="00D3534B"/>
    <w:rsid w:val="00D568AD"/>
    <w:rsid w:val="00D61841"/>
    <w:rsid w:val="00D62F48"/>
    <w:rsid w:val="00D80CF1"/>
    <w:rsid w:val="00D80F24"/>
    <w:rsid w:val="00D96D2A"/>
    <w:rsid w:val="00DA1A7C"/>
    <w:rsid w:val="00DD4388"/>
    <w:rsid w:val="00DE10FF"/>
    <w:rsid w:val="00DF6C65"/>
    <w:rsid w:val="00E076EF"/>
    <w:rsid w:val="00E10CE9"/>
    <w:rsid w:val="00E145C4"/>
    <w:rsid w:val="00E17854"/>
    <w:rsid w:val="00E36435"/>
    <w:rsid w:val="00E44C8E"/>
    <w:rsid w:val="00E4537A"/>
    <w:rsid w:val="00E518B8"/>
    <w:rsid w:val="00E55503"/>
    <w:rsid w:val="00E5716B"/>
    <w:rsid w:val="00E57D33"/>
    <w:rsid w:val="00E63738"/>
    <w:rsid w:val="00E7230B"/>
    <w:rsid w:val="00E7338F"/>
    <w:rsid w:val="00E73D52"/>
    <w:rsid w:val="00E8355A"/>
    <w:rsid w:val="00E920E4"/>
    <w:rsid w:val="00E95AEC"/>
    <w:rsid w:val="00EA09BF"/>
    <w:rsid w:val="00EA50E7"/>
    <w:rsid w:val="00EB48BF"/>
    <w:rsid w:val="00ED7B55"/>
    <w:rsid w:val="00EF1604"/>
    <w:rsid w:val="00EF30B0"/>
    <w:rsid w:val="00F151CB"/>
    <w:rsid w:val="00F64B92"/>
    <w:rsid w:val="00F67365"/>
    <w:rsid w:val="00F858F6"/>
    <w:rsid w:val="00F86E9D"/>
    <w:rsid w:val="00F87A3A"/>
    <w:rsid w:val="00FA79AE"/>
    <w:rsid w:val="00FB27B0"/>
    <w:rsid w:val="00FB6F92"/>
    <w:rsid w:val="00FC20BD"/>
    <w:rsid w:val="00FC2E9E"/>
    <w:rsid w:val="00FC6419"/>
    <w:rsid w:val="00FC6CCE"/>
    <w:rsid w:val="00FE17A5"/>
    <w:rsid w:val="00FE484B"/>
    <w:rsid w:val="00FF138C"/>
    <w:rsid w:val="00FF2D1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3AE526"/>
  <w15:docId w15:val="{2C7CD0E3-F3D4-4453-858D-4B564D049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CA"/>
    </w:rPr>
  </w:style>
  <w:style w:type="paragraph" w:styleId="Heading1">
    <w:name w:val="heading 1"/>
    <w:basedOn w:val="Normal"/>
    <w:link w:val="Heading1Char"/>
    <w:qFormat/>
    <w:pPr>
      <w:numPr>
        <w:numId w:val="2"/>
      </w:numPr>
      <w:spacing w:after="240"/>
      <w:outlineLvl w:val="0"/>
    </w:pPr>
    <w:rPr>
      <w:rFonts w:eastAsiaTheme="majorEastAsia" w:cs="Arial"/>
      <w:bCs/>
      <w:color w:val="000000"/>
      <w:szCs w:val="28"/>
    </w:rPr>
  </w:style>
  <w:style w:type="paragraph" w:styleId="Heading2">
    <w:name w:val="heading 2"/>
    <w:basedOn w:val="Normal"/>
    <w:link w:val="Heading2Char"/>
    <w:unhideWhenUsed/>
    <w:qFormat/>
    <w:pPr>
      <w:numPr>
        <w:ilvl w:val="1"/>
        <w:numId w:val="2"/>
      </w:numPr>
      <w:spacing w:after="240"/>
      <w:outlineLvl w:val="1"/>
    </w:pPr>
    <w:rPr>
      <w:rFonts w:eastAsiaTheme="majorEastAsia" w:cs="Arial"/>
      <w:bCs/>
      <w:color w:val="000000"/>
      <w:szCs w:val="26"/>
    </w:rPr>
  </w:style>
  <w:style w:type="paragraph" w:styleId="Heading3">
    <w:name w:val="heading 3"/>
    <w:basedOn w:val="Normal"/>
    <w:link w:val="Heading3Char"/>
    <w:unhideWhenUsed/>
    <w:qFormat/>
    <w:pPr>
      <w:numPr>
        <w:ilvl w:val="2"/>
        <w:numId w:val="2"/>
      </w:numPr>
      <w:spacing w:after="240"/>
      <w:outlineLvl w:val="2"/>
    </w:pPr>
    <w:rPr>
      <w:rFonts w:eastAsiaTheme="majorEastAsia" w:cs="Arial"/>
      <w:bCs/>
      <w:color w:val="000000"/>
    </w:rPr>
  </w:style>
  <w:style w:type="paragraph" w:styleId="Heading4">
    <w:name w:val="heading 4"/>
    <w:basedOn w:val="Normal"/>
    <w:link w:val="Heading4Char"/>
    <w:unhideWhenUsed/>
    <w:qFormat/>
    <w:pPr>
      <w:numPr>
        <w:ilvl w:val="3"/>
        <w:numId w:val="2"/>
      </w:numPr>
      <w:spacing w:after="240"/>
      <w:outlineLvl w:val="3"/>
    </w:pPr>
    <w:rPr>
      <w:rFonts w:eastAsiaTheme="majorEastAsia" w:cs="Arial"/>
      <w:bCs/>
      <w:iCs/>
      <w:color w:val="000000"/>
    </w:rPr>
  </w:style>
  <w:style w:type="paragraph" w:styleId="Heading5">
    <w:name w:val="heading 5"/>
    <w:basedOn w:val="Normal"/>
    <w:link w:val="Heading5Char"/>
    <w:unhideWhenUsed/>
    <w:qFormat/>
    <w:pPr>
      <w:numPr>
        <w:ilvl w:val="4"/>
        <w:numId w:val="2"/>
      </w:numPr>
      <w:spacing w:after="240"/>
      <w:outlineLvl w:val="4"/>
    </w:pPr>
    <w:rPr>
      <w:rFonts w:eastAsiaTheme="majorEastAsia" w:cs="Arial"/>
      <w:color w:val="000000"/>
    </w:rPr>
  </w:style>
  <w:style w:type="paragraph" w:styleId="Heading6">
    <w:name w:val="heading 6"/>
    <w:basedOn w:val="Normal"/>
    <w:link w:val="Heading6Char"/>
    <w:unhideWhenUsed/>
    <w:qFormat/>
    <w:pPr>
      <w:numPr>
        <w:ilvl w:val="5"/>
        <w:numId w:val="2"/>
      </w:numPr>
      <w:spacing w:after="240"/>
      <w:outlineLvl w:val="5"/>
    </w:pPr>
    <w:rPr>
      <w:rFonts w:eastAsiaTheme="majorEastAsia" w:cs="Arial"/>
      <w:iCs/>
      <w:color w:val="000000"/>
    </w:rPr>
  </w:style>
  <w:style w:type="paragraph" w:styleId="Heading7">
    <w:name w:val="heading 7"/>
    <w:basedOn w:val="Normal"/>
    <w:link w:val="Heading7Char"/>
    <w:unhideWhenUsed/>
    <w:qFormat/>
    <w:pPr>
      <w:numPr>
        <w:ilvl w:val="6"/>
        <w:numId w:val="2"/>
      </w:numPr>
      <w:spacing w:after="240"/>
      <w:outlineLvl w:val="6"/>
    </w:pPr>
    <w:rPr>
      <w:rFonts w:eastAsiaTheme="majorEastAsia" w:cs="Arial"/>
      <w:iCs/>
      <w:color w:val="000000"/>
    </w:rPr>
  </w:style>
  <w:style w:type="paragraph" w:styleId="Heading8">
    <w:name w:val="heading 8"/>
    <w:basedOn w:val="Normal"/>
    <w:link w:val="Heading8Char"/>
    <w:unhideWhenUsed/>
    <w:qFormat/>
    <w:pPr>
      <w:numPr>
        <w:ilvl w:val="7"/>
        <w:numId w:val="2"/>
      </w:numPr>
      <w:spacing w:after="240"/>
      <w:outlineLvl w:val="7"/>
    </w:pPr>
    <w:rPr>
      <w:rFonts w:eastAsiaTheme="majorEastAsia" w:cs="Arial"/>
      <w:color w:val="000000"/>
    </w:rPr>
  </w:style>
  <w:style w:type="paragraph" w:styleId="Heading9">
    <w:name w:val="heading 9"/>
    <w:basedOn w:val="Normal"/>
    <w:link w:val="Heading9Char"/>
    <w:unhideWhenUsed/>
    <w:qFormat/>
    <w:pPr>
      <w:numPr>
        <w:ilvl w:val="8"/>
        <w:numId w:val="2"/>
      </w:numPr>
      <w:spacing w:after="240"/>
      <w:outlineLvl w:val="8"/>
    </w:pPr>
    <w:rPr>
      <w:rFonts w:eastAsiaTheme="majorEastAsia" w:cs="Arial"/>
      <w:i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rPr>
      <w:lang w:val="en-CA"/>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rPr>
      <w:lang w:val="en-CA"/>
    </w:rPr>
  </w:style>
  <w:style w:type="paragraph" w:customStyle="1" w:styleId="DocID">
    <w:name w:val="DocID"/>
    <w:basedOn w:val="Footer"/>
    <w:next w:val="Footer"/>
    <w:link w:val="DocIDChar"/>
    <w:pPr>
      <w:tabs>
        <w:tab w:val="clear" w:pos="4680"/>
        <w:tab w:val="clear" w:pos="9360"/>
      </w:tabs>
      <w:spacing w:line="240" w:lineRule="auto"/>
    </w:pPr>
    <w:rPr>
      <w:rFonts w:eastAsia="Times New Roman" w:cs="Arial"/>
      <w:sz w:val="16"/>
      <w:lang w:val="en-US"/>
    </w:rPr>
  </w:style>
  <w:style w:type="paragraph" w:customStyle="1" w:styleId="Block05">
    <w:name w:val="Block 0.5"/>
    <w:basedOn w:val="Normal"/>
    <w:qFormat/>
    <w:pPr>
      <w:spacing w:after="240"/>
      <w:ind w:left="720" w:right="720"/>
    </w:pPr>
  </w:style>
  <w:style w:type="paragraph" w:customStyle="1" w:styleId="Block10">
    <w:name w:val="Block 1.0"/>
    <w:basedOn w:val="Normal"/>
    <w:qFormat/>
    <w:pPr>
      <w:spacing w:after="240"/>
      <w:ind w:left="1440" w:right="1440"/>
    </w:pPr>
  </w:style>
  <w:style w:type="paragraph" w:customStyle="1" w:styleId="Block15">
    <w:name w:val="Block 1.5"/>
    <w:basedOn w:val="Normal"/>
    <w:qFormat/>
    <w:pPr>
      <w:spacing w:after="240"/>
      <w:ind w:left="2160" w:right="2160"/>
    </w:pPr>
  </w:style>
  <w:style w:type="paragraph" w:customStyle="1" w:styleId="Block20">
    <w:name w:val="Block 2.0"/>
    <w:basedOn w:val="Normal"/>
    <w:qFormat/>
    <w:pPr>
      <w:spacing w:after="240"/>
      <w:ind w:left="2880" w:right="2880"/>
    </w:pPr>
  </w:style>
  <w:style w:type="paragraph" w:customStyle="1" w:styleId="Citation">
    <w:name w:val="Citation"/>
    <w:basedOn w:val="Normal"/>
    <w:qFormat/>
    <w:pPr>
      <w:spacing w:after="240"/>
      <w:ind w:left="720" w:right="720"/>
    </w:pPr>
  </w:style>
  <w:style w:type="paragraph" w:customStyle="1" w:styleId="Jurat">
    <w:name w:val="Jurat"/>
    <w:basedOn w:val="Normal"/>
    <w:qFormat/>
    <w:pPr>
      <w:keepNext/>
      <w:tabs>
        <w:tab w:val="left" w:pos="4320"/>
      </w:tabs>
    </w:pPr>
  </w:style>
  <w:style w:type="paragraph" w:customStyle="1" w:styleId="Para1">
    <w:name w:val="Para1"/>
    <w:basedOn w:val="Normal"/>
    <w:link w:val="Para1Char"/>
    <w:pPr>
      <w:spacing w:after="240"/>
      <w:ind w:left="720"/>
    </w:pPr>
  </w:style>
  <w:style w:type="character" w:customStyle="1" w:styleId="Para1Char">
    <w:name w:val="Para1 Char"/>
    <w:basedOn w:val="DefaultParagraphFont"/>
    <w:link w:val="Para1"/>
    <w:rPr>
      <w:lang w:val="en-CA"/>
    </w:rPr>
  </w:style>
  <w:style w:type="paragraph" w:customStyle="1" w:styleId="Para2">
    <w:name w:val="Para2"/>
    <w:basedOn w:val="Normal"/>
    <w:link w:val="Para2Char"/>
    <w:pPr>
      <w:spacing w:after="240"/>
      <w:ind w:left="1440"/>
    </w:pPr>
  </w:style>
  <w:style w:type="character" w:customStyle="1" w:styleId="Para2Char">
    <w:name w:val="Para2 Char"/>
    <w:basedOn w:val="DefaultParagraphFont"/>
    <w:link w:val="Para2"/>
    <w:rPr>
      <w:lang w:val="en-CA"/>
    </w:rPr>
  </w:style>
  <w:style w:type="paragraph" w:customStyle="1" w:styleId="Para3">
    <w:name w:val="Para3"/>
    <w:basedOn w:val="Normal"/>
    <w:link w:val="Para3Char"/>
    <w:pPr>
      <w:spacing w:after="240"/>
      <w:ind w:left="2160"/>
    </w:pPr>
  </w:style>
  <w:style w:type="character" w:customStyle="1" w:styleId="Para3Char">
    <w:name w:val="Para3 Char"/>
    <w:basedOn w:val="DefaultParagraphFont"/>
    <w:link w:val="Para3"/>
    <w:rPr>
      <w:lang w:val="en-CA"/>
    </w:rPr>
  </w:style>
  <w:style w:type="paragraph" w:customStyle="1" w:styleId="Para4">
    <w:name w:val="Para4"/>
    <w:basedOn w:val="Normal"/>
    <w:link w:val="Para4Char"/>
    <w:pPr>
      <w:spacing w:after="240"/>
      <w:ind w:left="2880"/>
    </w:pPr>
  </w:style>
  <w:style w:type="paragraph" w:customStyle="1" w:styleId="ParaFirstLine05">
    <w:name w:val="Para First Line 0.5"/>
    <w:basedOn w:val="Normal"/>
    <w:qFormat/>
    <w:pPr>
      <w:spacing w:after="240"/>
      <w:ind w:firstLine="720"/>
    </w:pPr>
  </w:style>
  <w:style w:type="paragraph" w:customStyle="1" w:styleId="ParaFirstLine10">
    <w:name w:val="Para First Line 1.0"/>
    <w:basedOn w:val="Normal"/>
    <w:qFormat/>
    <w:pPr>
      <w:spacing w:after="240"/>
      <w:ind w:firstLine="1440"/>
    </w:pPr>
  </w:style>
  <w:style w:type="paragraph" w:customStyle="1" w:styleId="ParaHanging05">
    <w:name w:val="Para Hanging 0.5"/>
    <w:basedOn w:val="Normal"/>
    <w:qFormat/>
    <w:pPr>
      <w:spacing w:after="240"/>
      <w:ind w:left="720" w:hanging="720"/>
    </w:pPr>
  </w:style>
  <w:style w:type="paragraph" w:customStyle="1" w:styleId="Party">
    <w:name w:val="Party"/>
    <w:basedOn w:val="Normal"/>
    <w:qFormat/>
    <w:pPr>
      <w:spacing w:after="240"/>
      <w:ind w:left="720" w:right="720"/>
    </w:pPr>
  </w:style>
  <w:style w:type="paragraph" w:customStyle="1" w:styleId="Quote9pts05">
    <w:name w:val="Quote 9 pts 0.5"/>
    <w:basedOn w:val="Normal"/>
    <w:qFormat/>
    <w:pPr>
      <w:spacing w:after="240"/>
      <w:ind w:left="720" w:right="720"/>
    </w:pPr>
    <w:rPr>
      <w:sz w:val="18"/>
    </w:rPr>
  </w:style>
  <w:style w:type="paragraph" w:customStyle="1" w:styleId="Quote9pts10">
    <w:name w:val="Quote 9 pts 1.0"/>
    <w:basedOn w:val="Normal"/>
    <w:qFormat/>
    <w:pPr>
      <w:spacing w:after="240"/>
      <w:ind w:left="1440" w:right="1440"/>
    </w:pPr>
    <w:rPr>
      <w:sz w:val="18"/>
    </w:rPr>
  </w:style>
  <w:style w:type="paragraph" w:customStyle="1" w:styleId="Quote9pts15">
    <w:name w:val="Quote 9 pts 1.5"/>
    <w:basedOn w:val="Normal"/>
    <w:qFormat/>
    <w:pPr>
      <w:spacing w:after="240"/>
      <w:ind w:left="2160" w:right="2160"/>
    </w:pPr>
    <w:rPr>
      <w:sz w:val="18"/>
    </w:rPr>
  </w:style>
  <w:style w:type="paragraph" w:customStyle="1" w:styleId="Quote9pts20">
    <w:name w:val="Quote 9 pts 2.0"/>
    <w:basedOn w:val="Normal"/>
    <w:qFormat/>
    <w:pPr>
      <w:spacing w:after="240"/>
      <w:ind w:left="2880" w:right="2880"/>
    </w:pPr>
    <w:rPr>
      <w:sz w:val="18"/>
    </w:rPr>
  </w:style>
  <w:style w:type="paragraph" w:customStyle="1" w:styleId="Reference">
    <w:name w:val="Reference"/>
    <w:basedOn w:val="Normal"/>
    <w:qFormat/>
    <w:pPr>
      <w:spacing w:after="240"/>
      <w:ind w:left="2880" w:right="1440"/>
    </w:pPr>
    <w:rPr>
      <w:b/>
    </w:rPr>
  </w:style>
  <w:style w:type="paragraph" w:styleId="Signature">
    <w:name w:val="Signature"/>
    <w:basedOn w:val="Normal"/>
    <w:link w:val="SignatureChar"/>
    <w:uiPriority w:val="99"/>
    <w:qFormat/>
    <w:pPr>
      <w:tabs>
        <w:tab w:val="left" w:leader="underscore" w:pos="8640"/>
      </w:tabs>
      <w:spacing w:after="240"/>
      <w:ind w:left="4320"/>
    </w:pPr>
  </w:style>
  <w:style w:type="character" w:customStyle="1" w:styleId="SignatureChar">
    <w:name w:val="Signature Char"/>
    <w:basedOn w:val="DefaultParagraphFont"/>
    <w:link w:val="Signature"/>
    <w:uiPriority w:val="99"/>
    <w:rPr>
      <w:lang w:val="en-CA"/>
    </w:rPr>
  </w:style>
  <w:style w:type="character" w:customStyle="1" w:styleId="Heading1Char">
    <w:name w:val="Heading 1 Char"/>
    <w:basedOn w:val="DefaultParagraphFont"/>
    <w:link w:val="Heading1"/>
    <w:rPr>
      <w:rFonts w:eastAsiaTheme="majorEastAsia" w:cs="Arial"/>
      <w:bCs/>
      <w:color w:val="000000"/>
      <w:szCs w:val="28"/>
      <w:lang w:val="en-CA"/>
    </w:rPr>
  </w:style>
  <w:style w:type="paragraph" w:styleId="TOCHeading">
    <w:name w:val="TOC Heading"/>
    <w:basedOn w:val="Normal"/>
    <w:next w:val="Normal"/>
    <w:uiPriority w:val="39"/>
    <w:semiHidden/>
    <w:pPr>
      <w:spacing w:after="240"/>
      <w:jc w:val="center"/>
    </w:pPr>
    <w:rPr>
      <w:b/>
      <w:caps/>
    </w:rPr>
  </w:style>
  <w:style w:type="paragraph" w:styleId="TOC1">
    <w:name w:val="toc 1"/>
    <w:basedOn w:val="Normal"/>
    <w:next w:val="Normal"/>
    <w:autoRedefine/>
    <w:uiPriority w:val="39"/>
    <w:semiHidden/>
    <w:pPr>
      <w:spacing w:after="240"/>
      <w:ind w:right="432"/>
    </w:pPr>
  </w:style>
  <w:style w:type="paragraph" w:styleId="TOC2">
    <w:name w:val="toc 2"/>
    <w:basedOn w:val="Normal"/>
    <w:next w:val="Normal"/>
    <w:autoRedefine/>
    <w:uiPriority w:val="39"/>
    <w:semiHidden/>
    <w:pPr>
      <w:spacing w:after="240"/>
      <w:ind w:left="720" w:right="432"/>
    </w:pPr>
  </w:style>
  <w:style w:type="paragraph" w:styleId="TOC3">
    <w:name w:val="toc 3"/>
    <w:basedOn w:val="Normal"/>
    <w:next w:val="Normal"/>
    <w:autoRedefine/>
    <w:uiPriority w:val="39"/>
    <w:semiHidden/>
    <w:pPr>
      <w:spacing w:after="240"/>
      <w:ind w:left="1440" w:right="432"/>
    </w:pPr>
  </w:style>
  <w:style w:type="paragraph" w:styleId="TOC4">
    <w:name w:val="toc 4"/>
    <w:basedOn w:val="Normal"/>
    <w:next w:val="Normal"/>
    <w:autoRedefine/>
    <w:uiPriority w:val="39"/>
    <w:semiHidden/>
    <w:pPr>
      <w:spacing w:after="240"/>
      <w:ind w:left="2160" w:right="432"/>
    </w:pPr>
  </w:style>
  <w:style w:type="paragraph" w:styleId="TOC5">
    <w:name w:val="toc 5"/>
    <w:basedOn w:val="Normal"/>
    <w:next w:val="Normal"/>
    <w:autoRedefine/>
    <w:uiPriority w:val="39"/>
    <w:semiHidden/>
    <w:pPr>
      <w:spacing w:after="240"/>
      <w:ind w:left="1440" w:right="432"/>
    </w:pPr>
  </w:style>
  <w:style w:type="paragraph" w:styleId="TOC6">
    <w:name w:val="toc 6"/>
    <w:basedOn w:val="Normal"/>
    <w:next w:val="Normal"/>
    <w:autoRedefine/>
    <w:uiPriority w:val="39"/>
    <w:semiHidden/>
    <w:pPr>
      <w:spacing w:after="240"/>
      <w:ind w:left="3312" w:right="432"/>
    </w:pPr>
  </w:style>
  <w:style w:type="paragraph" w:styleId="TOC7">
    <w:name w:val="toc 7"/>
    <w:basedOn w:val="Normal"/>
    <w:next w:val="Normal"/>
    <w:autoRedefine/>
    <w:uiPriority w:val="39"/>
    <w:semiHidden/>
    <w:pPr>
      <w:spacing w:after="240"/>
      <w:ind w:left="4320" w:right="432"/>
    </w:pPr>
  </w:style>
  <w:style w:type="paragraph" w:styleId="TOC8">
    <w:name w:val="toc 8"/>
    <w:basedOn w:val="Normal"/>
    <w:next w:val="Normal"/>
    <w:autoRedefine/>
    <w:uiPriority w:val="39"/>
    <w:semiHidden/>
    <w:pPr>
      <w:spacing w:after="240"/>
      <w:ind w:left="5040" w:right="432"/>
    </w:pPr>
  </w:style>
  <w:style w:type="paragraph" w:styleId="TOC9">
    <w:name w:val="toc 9"/>
    <w:basedOn w:val="Normal"/>
    <w:next w:val="Normal"/>
    <w:autoRedefine/>
    <w:uiPriority w:val="39"/>
    <w:semiHidden/>
    <w:pPr>
      <w:spacing w:after="240"/>
      <w:ind w:left="5760" w:right="432"/>
    </w:pPr>
  </w:style>
  <w:style w:type="character" w:customStyle="1" w:styleId="Heading2Char">
    <w:name w:val="Heading 2 Char"/>
    <w:basedOn w:val="DefaultParagraphFont"/>
    <w:link w:val="Heading2"/>
    <w:rPr>
      <w:rFonts w:eastAsiaTheme="majorEastAsia" w:cs="Arial"/>
      <w:bCs/>
      <w:color w:val="000000"/>
      <w:szCs w:val="26"/>
      <w:lang w:val="en-CA"/>
    </w:rPr>
  </w:style>
  <w:style w:type="character" w:customStyle="1" w:styleId="Heading3Char">
    <w:name w:val="Heading 3 Char"/>
    <w:basedOn w:val="DefaultParagraphFont"/>
    <w:link w:val="Heading3"/>
    <w:rPr>
      <w:rFonts w:eastAsiaTheme="majorEastAsia" w:cs="Arial"/>
      <w:bCs/>
      <w:color w:val="000000"/>
      <w:lang w:val="en-CA"/>
    </w:rPr>
  </w:style>
  <w:style w:type="character" w:customStyle="1" w:styleId="Heading4Char">
    <w:name w:val="Heading 4 Char"/>
    <w:basedOn w:val="DefaultParagraphFont"/>
    <w:link w:val="Heading4"/>
    <w:rPr>
      <w:rFonts w:eastAsiaTheme="majorEastAsia" w:cs="Arial"/>
      <w:bCs/>
      <w:iCs/>
      <w:color w:val="000000"/>
      <w:lang w:val="en-CA"/>
    </w:rPr>
  </w:style>
  <w:style w:type="character" w:customStyle="1" w:styleId="Heading5Char">
    <w:name w:val="Heading 5 Char"/>
    <w:basedOn w:val="DefaultParagraphFont"/>
    <w:link w:val="Heading5"/>
    <w:rPr>
      <w:rFonts w:eastAsiaTheme="majorEastAsia" w:cs="Arial"/>
      <w:color w:val="000000"/>
      <w:lang w:val="en-CA"/>
    </w:rPr>
  </w:style>
  <w:style w:type="character" w:customStyle="1" w:styleId="Heading6Char">
    <w:name w:val="Heading 6 Char"/>
    <w:basedOn w:val="DefaultParagraphFont"/>
    <w:link w:val="Heading6"/>
    <w:rPr>
      <w:rFonts w:eastAsiaTheme="majorEastAsia" w:cs="Arial"/>
      <w:iCs/>
      <w:color w:val="000000"/>
      <w:lang w:val="en-CA"/>
    </w:rPr>
  </w:style>
  <w:style w:type="character" w:customStyle="1" w:styleId="Heading7Char">
    <w:name w:val="Heading 7 Char"/>
    <w:basedOn w:val="DefaultParagraphFont"/>
    <w:link w:val="Heading7"/>
    <w:rPr>
      <w:rFonts w:eastAsiaTheme="majorEastAsia" w:cs="Arial"/>
      <w:iCs/>
      <w:color w:val="000000"/>
      <w:lang w:val="en-CA"/>
    </w:rPr>
  </w:style>
  <w:style w:type="character" w:customStyle="1" w:styleId="Heading8Char">
    <w:name w:val="Heading 8 Char"/>
    <w:basedOn w:val="DefaultParagraphFont"/>
    <w:link w:val="Heading8"/>
    <w:rPr>
      <w:rFonts w:eastAsiaTheme="majorEastAsia" w:cs="Arial"/>
      <w:color w:val="000000"/>
      <w:lang w:val="en-CA"/>
    </w:rPr>
  </w:style>
  <w:style w:type="character" w:customStyle="1" w:styleId="Heading9Char">
    <w:name w:val="Heading 9 Char"/>
    <w:basedOn w:val="DefaultParagraphFont"/>
    <w:link w:val="Heading9"/>
    <w:rPr>
      <w:rFonts w:eastAsiaTheme="majorEastAsia" w:cs="Arial"/>
      <w:iCs/>
      <w:color w:val="000000"/>
      <w:lang w:val="en-CA"/>
    </w:rPr>
  </w:style>
  <w:style w:type="paragraph" w:styleId="ListParagraph">
    <w:name w:val="List Paragraph"/>
    <w:basedOn w:val="Normal"/>
    <w:uiPriority w:val="34"/>
    <w:semiHidden/>
    <w:pPr>
      <w:ind w:left="720"/>
      <w:contextualSpacing/>
    </w:pPr>
  </w:style>
  <w:style w:type="paragraph" w:styleId="Subtitle">
    <w:name w:val="Subtitle"/>
    <w:basedOn w:val="Normal"/>
    <w:next w:val="TextLeft"/>
    <w:link w:val="SubtitleChar"/>
    <w:qFormat/>
    <w:pPr>
      <w:keepNext/>
      <w:numPr>
        <w:ilvl w:val="1"/>
      </w:numPr>
      <w:spacing w:after="240"/>
      <w:outlineLvl w:val="1"/>
    </w:pPr>
    <w:rPr>
      <w:rFonts w:eastAsiaTheme="majorEastAsia" w:cstheme="majorBidi"/>
      <w:b/>
      <w:iCs/>
      <w:szCs w:val="24"/>
    </w:rPr>
  </w:style>
  <w:style w:type="character" w:customStyle="1" w:styleId="SubtitleChar">
    <w:name w:val="Subtitle Char"/>
    <w:basedOn w:val="DefaultParagraphFont"/>
    <w:link w:val="Subtitle"/>
    <w:rPr>
      <w:rFonts w:eastAsiaTheme="majorEastAsia" w:cstheme="majorBidi"/>
      <w:b/>
      <w:iCs/>
      <w:szCs w:val="24"/>
      <w:lang w:val="en-CA"/>
    </w:rPr>
  </w:style>
  <w:style w:type="paragraph" w:customStyle="1" w:styleId="Subtitle-AllCaps">
    <w:name w:val="Subtitle - All Caps"/>
    <w:basedOn w:val="Normal"/>
    <w:next w:val="TextLeft"/>
    <w:link w:val="Subtitle-AllCapsChar"/>
    <w:qFormat/>
    <w:pPr>
      <w:keepNext/>
      <w:spacing w:after="240"/>
      <w:outlineLvl w:val="1"/>
    </w:pPr>
    <w:rPr>
      <w:b/>
      <w:caps/>
      <w:u w:val="single"/>
    </w:rPr>
  </w:style>
  <w:style w:type="character" w:customStyle="1" w:styleId="Subtitle-AllCapsChar">
    <w:name w:val="Subtitle - All Caps Char"/>
    <w:basedOn w:val="DefaultParagraphFont"/>
    <w:link w:val="Subtitle-AllCaps"/>
    <w:rPr>
      <w:b/>
      <w:caps/>
      <w:u w:val="single"/>
      <w:lang w:val="en-CA"/>
    </w:rPr>
  </w:style>
  <w:style w:type="paragraph" w:customStyle="1" w:styleId="TextJustified">
    <w:name w:val="Text Justified"/>
    <w:basedOn w:val="Normal"/>
    <w:link w:val="TextJustifiedChar"/>
    <w:qFormat/>
    <w:pPr>
      <w:spacing w:after="240"/>
      <w:jc w:val="both"/>
    </w:pPr>
  </w:style>
  <w:style w:type="character" w:customStyle="1" w:styleId="TextJustifiedChar">
    <w:name w:val="Text Justified Char"/>
    <w:basedOn w:val="DefaultParagraphFont"/>
    <w:link w:val="TextJustified"/>
    <w:rPr>
      <w:lang w:val="en-CA"/>
    </w:rPr>
  </w:style>
  <w:style w:type="paragraph" w:customStyle="1" w:styleId="ScheduleTitle">
    <w:name w:val="Schedule Title"/>
    <w:basedOn w:val="Normal"/>
    <w:next w:val="TextLeft"/>
    <w:link w:val="ScheduleTitleChar"/>
    <w:qFormat/>
    <w:pPr>
      <w:keepNext/>
      <w:spacing w:after="240"/>
      <w:jc w:val="center"/>
    </w:pPr>
    <w:rPr>
      <w:b/>
    </w:rPr>
  </w:style>
  <w:style w:type="character" w:customStyle="1" w:styleId="ScheduleTitleChar">
    <w:name w:val="Schedule Title Char"/>
    <w:basedOn w:val="DefaultParagraphFont"/>
    <w:link w:val="ScheduleTitle"/>
    <w:rPr>
      <w:b/>
      <w:lang w:val="en-CA"/>
    </w:rPr>
  </w:style>
  <w:style w:type="paragraph" w:customStyle="1" w:styleId="SubtitleCentre">
    <w:name w:val="Subtitle Centre"/>
    <w:basedOn w:val="Normal"/>
    <w:next w:val="TextLeft"/>
    <w:link w:val="SubtitleCentreChar"/>
    <w:qFormat/>
    <w:pPr>
      <w:keepNext/>
      <w:keepLines/>
      <w:spacing w:after="240"/>
      <w:jc w:val="center"/>
      <w:outlineLvl w:val="1"/>
    </w:pPr>
    <w:rPr>
      <w:b/>
      <w:u w:val="single"/>
    </w:rPr>
  </w:style>
  <w:style w:type="character" w:customStyle="1" w:styleId="SubtitleCentreChar">
    <w:name w:val="Subtitle Centre Char"/>
    <w:basedOn w:val="DefaultParagraphFont"/>
    <w:link w:val="SubtitleCentre"/>
    <w:rPr>
      <w:b/>
      <w:u w:val="single"/>
      <w:lang w:val="en-CA"/>
    </w:rPr>
  </w:style>
  <w:style w:type="paragraph" w:customStyle="1" w:styleId="SubtitleItalic">
    <w:name w:val="Subtitle Italic"/>
    <w:basedOn w:val="Normal"/>
    <w:next w:val="TextLeft"/>
    <w:link w:val="SubtitleItalicChar"/>
    <w:qFormat/>
    <w:pPr>
      <w:keepNext/>
      <w:keepLines/>
      <w:spacing w:after="240"/>
      <w:outlineLvl w:val="1"/>
    </w:pPr>
    <w:rPr>
      <w:b/>
      <w:i/>
    </w:rPr>
  </w:style>
  <w:style w:type="character" w:customStyle="1" w:styleId="SubtitleItalicChar">
    <w:name w:val="Subtitle Italic Char"/>
    <w:basedOn w:val="DefaultParagraphFont"/>
    <w:link w:val="SubtitleItalic"/>
    <w:rPr>
      <w:b/>
      <w:i/>
      <w:lang w:val="en-CA"/>
    </w:rPr>
  </w:style>
  <w:style w:type="table" w:styleId="TableGrid">
    <w:name w:val="Table Grid"/>
    <w:basedOn w:val="TableNormal"/>
    <w:uiPriority w:val="39"/>
    <w:pPr>
      <w:spacing w:after="2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qFormat/>
    <w:pPr>
      <w:spacing w:before="60" w:after="60"/>
      <w:jc w:val="center"/>
    </w:pPr>
    <w:rPr>
      <w:b/>
    </w:rPr>
  </w:style>
  <w:style w:type="paragraph" w:customStyle="1" w:styleId="TableText">
    <w:name w:val="Table Text"/>
    <w:basedOn w:val="Normal"/>
    <w:qFormat/>
    <w:pPr>
      <w:spacing w:before="60" w:after="60"/>
    </w:pPr>
  </w:style>
  <w:style w:type="paragraph" w:customStyle="1" w:styleId="TextCenter">
    <w:name w:val="Text Center"/>
    <w:basedOn w:val="Normal"/>
    <w:qFormat/>
    <w:pPr>
      <w:spacing w:after="240"/>
      <w:jc w:val="center"/>
    </w:pPr>
  </w:style>
  <w:style w:type="paragraph" w:customStyle="1" w:styleId="TextGap">
    <w:name w:val="Text Gap"/>
    <w:basedOn w:val="Normal"/>
    <w:qFormat/>
    <w:pPr>
      <w:spacing w:after="240"/>
    </w:pPr>
    <w:rPr>
      <w:b/>
      <w:caps/>
      <w:spacing w:val="100"/>
    </w:rPr>
  </w:style>
  <w:style w:type="paragraph" w:customStyle="1" w:styleId="TextLeft">
    <w:name w:val="Text Left"/>
    <w:basedOn w:val="Normal"/>
    <w:link w:val="TextLeftChar"/>
    <w:qFormat/>
    <w:pPr>
      <w:spacing w:after="240"/>
    </w:pPr>
  </w:style>
  <w:style w:type="paragraph" w:styleId="Title">
    <w:name w:val="Title"/>
    <w:basedOn w:val="Normal"/>
    <w:next w:val="TextLeft"/>
    <w:link w:val="TitleChar"/>
    <w:uiPriority w:val="10"/>
    <w:qFormat/>
    <w:pPr>
      <w:keepNext/>
      <w:spacing w:after="360"/>
      <w:jc w:val="center"/>
      <w:outlineLvl w:val="0"/>
    </w:pPr>
    <w:rPr>
      <w:rFonts w:eastAsiaTheme="majorEastAsia" w:cstheme="majorBidi"/>
      <w:b/>
      <w:caps/>
      <w:szCs w:val="52"/>
    </w:rPr>
  </w:style>
  <w:style w:type="character" w:customStyle="1" w:styleId="TitleChar">
    <w:name w:val="Title Char"/>
    <w:basedOn w:val="DefaultParagraphFont"/>
    <w:link w:val="Title"/>
    <w:uiPriority w:val="10"/>
    <w:rPr>
      <w:rFonts w:eastAsiaTheme="majorEastAsia" w:cstheme="majorBidi"/>
      <w:b/>
      <w:caps/>
      <w:szCs w:val="52"/>
      <w:lang w:val="en-CA"/>
    </w:rPr>
  </w:style>
  <w:style w:type="paragraph" w:customStyle="1" w:styleId="Bullet1">
    <w:name w:val="Bullet 1"/>
    <w:basedOn w:val="Normal"/>
    <w:uiPriority w:val="29"/>
    <w:qFormat/>
    <w:pPr>
      <w:numPr>
        <w:numId w:val="1"/>
      </w:numPr>
      <w:spacing w:after="120"/>
    </w:pPr>
  </w:style>
  <w:style w:type="paragraph" w:customStyle="1" w:styleId="Bullet2">
    <w:name w:val="Bullet 2"/>
    <w:basedOn w:val="Normal"/>
    <w:uiPriority w:val="29"/>
    <w:qFormat/>
    <w:pPr>
      <w:numPr>
        <w:ilvl w:val="1"/>
        <w:numId w:val="1"/>
      </w:numPr>
      <w:spacing w:after="240"/>
    </w:pPr>
  </w:style>
  <w:style w:type="paragraph" w:customStyle="1" w:styleId="Bullet3">
    <w:name w:val="Bullet 3"/>
    <w:basedOn w:val="Normal"/>
    <w:uiPriority w:val="29"/>
    <w:qFormat/>
    <w:pPr>
      <w:numPr>
        <w:ilvl w:val="2"/>
        <w:numId w:val="1"/>
      </w:numPr>
      <w:spacing w:after="240"/>
    </w:pPr>
  </w:style>
  <w:style w:type="paragraph" w:customStyle="1" w:styleId="Bullet4">
    <w:name w:val="Bullet 4"/>
    <w:basedOn w:val="Normal"/>
    <w:uiPriority w:val="29"/>
    <w:qFormat/>
    <w:pPr>
      <w:numPr>
        <w:ilvl w:val="3"/>
        <w:numId w:val="1"/>
      </w:numPr>
      <w:spacing w:after="240"/>
    </w:pPr>
  </w:style>
  <w:style w:type="paragraph" w:styleId="BlockText">
    <w:name w:val="Block Text"/>
    <w:basedOn w:val="Normal"/>
    <w:uiPriority w:val="99"/>
    <w:semiHidden/>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eastAsiaTheme="minorEastAsia"/>
      <w:i/>
      <w:iCs/>
    </w:rPr>
  </w:style>
  <w:style w:type="paragraph" w:styleId="EnvelopeAddress">
    <w:name w:val="envelope address"/>
    <w:basedOn w:val="Normal"/>
    <w:uiPriority w:val="99"/>
    <w:semiHidden/>
    <w:pPr>
      <w:framePr w:w="7920" w:h="1980" w:hRule="exact" w:hSpace="180" w:wrap="auto" w:hAnchor="page" w:xAlign="center" w:yAlign="bottom"/>
      <w:ind w:left="2880"/>
    </w:pPr>
    <w:rPr>
      <w:rFonts w:eastAsiaTheme="majorEastAsia" w:cstheme="majorBidi"/>
      <w:sz w:val="24"/>
      <w:szCs w:val="24"/>
    </w:rPr>
  </w:style>
  <w:style w:type="paragraph" w:styleId="EnvelopeReturn">
    <w:name w:val="envelope return"/>
    <w:basedOn w:val="Normal"/>
    <w:uiPriority w:val="99"/>
    <w:semiHidden/>
    <w:rPr>
      <w:rFonts w:eastAsiaTheme="majorEastAsia" w:cstheme="majorBidi"/>
    </w:rPr>
  </w:style>
  <w:style w:type="paragraph" w:styleId="Index1">
    <w:name w:val="index 1"/>
    <w:basedOn w:val="Normal"/>
    <w:next w:val="Normal"/>
    <w:autoRedefine/>
    <w:uiPriority w:val="99"/>
    <w:semiHidden/>
    <w:pPr>
      <w:ind w:left="220" w:hanging="220"/>
    </w:pPr>
  </w:style>
  <w:style w:type="paragraph" w:styleId="IndexHeading">
    <w:name w:val="index heading"/>
    <w:basedOn w:val="Normal"/>
    <w:next w:val="Index1"/>
    <w:uiPriority w:val="99"/>
    <w:semiHidden/>
    <w:rPr>
      <w:rFonts w:eastAsiaTheme="majorEastAsia" w:cstheme="majorBidi"/>
      <w:b/>
      <w:bCs/>
    </w:rPr>
  </w:style>
  <w:style w:type="table" w:styleId="MediumGrid2">
    <w:name w:val="Medium Grid 2"/>
    <w:basedOn w:val="TableNormal"/>
    <w:uiPriority w:val="68"/>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List2">
    <w:name w:val="Medium List 2"/>
    <w:basedOn w:val="TableNormal"/>
    <w:uiPriority w:val="66"/>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paragraph" w:styleId="MessageHeader">
    <w:name w:val="Message Header"/>
    <w:basedOn w:val="Normal"/>
    <w:link w:val="MessageHeaderChar"/>
    <w:uiPriority w:val="99"/>
    <w:semiHidden/>
    <w:pPr>
      <w:pBdr>
        <w:top w:val="single" w:sz="6" w:space="1" w:color="auto"/>
        <w:left w:val="single" w:sz="6" w:space="1" w:color="auto"/>
        <w:bottom w:val="single" w:sz="6" w:space="1" w:color="auto"/>
        <w:right w:val="single" w:sz="6" w:space="1" w:color="auto"/>
      </w:pBdr>
      <w:shd w:val="pct20" w:color="auto" w:fill="auto"/>
      <w:ind w:left="1080" w:hanging="1080"/>
    </w:pPr>
    <w:rPr>
      <w:rFonts w:eastAsiaTheme="majorEastAsia" w:cstheme="majorBidi"/>
      <w:sz w:val="24"/>
      <w:szCs w:val="24"/>
    </w:rPr>
  </w:style>
  <w:style w:type="character" w:customStyle="1" w:styleId="MessageHeaderChar">
    <w:name w:val="Message Header Char"/>
    <w:basedOn w:val="DefaultParagraphFont"/>
    <w:link w:val="MessageHeader"/>
    <w:uiPriority w:val="99"/>
    <w:semiHidden/>
    <w:rPr>
      <w:rFonts w:eastAsiaTheme="majorEastAsia" w:cstheme="majorBidi"/>
      <w:sz w:val="24"/>
      <w:szCs w:val="24"/>
      <w:shd w:val="pct20" w:color="auto" w:fill="auto"/>
      <w:lang w:val="en-CA"/>
    </w:rPr>
  </w:style>
  <w:style w:type="paragraph" w:styleId="TOAHeading">
    <w:name w:val="toa heading"/>
    <w:basedOn w:val="Normal"/>
    <w:next w:val="Normal"/>
    <w:uiPriority w:val="99"/>
    <w:semiHidden/>
    <w:pPr>
      <w:spacing w:before="120"/>
    </w:pPr>
    <w:rPr>
      <w:rFonts w:eastAsiaTheme="majorEastAsia" w:cstheme="majorBidi"/>
      <w:b/>
      <w:bCs/>
      <w:szCs w:val="24"/>
    </w:rPr>
  </w:style>
  <w:style w:type="paragraph" w:customStyle="1" w:styleId="TextRight">
    <w:name w:val="Text Right"/>
    <w:basedOn w:val="Normal"/>
    <w:pPr>
      <w:spacing w:after="240"/>
      <w:jc w:val="right"/>
    </w:pPr>
    <w:rPr>
      <w:rFonts w:eastAsia="SimSun" w:cs="Times New Roman"/>
    </w:rPr>
  </w:style>
  <w:style w:type="paragraph" w:customStyle="1" w:styleId="Notes">
    <w:name w:val="Notes"/>
    <w:basedOn w:val="Normal"/>
    <w:pPr>
      <w:spacing w:after="240"/>
    </w:pPr>
    <w:rPr>
      <w:sz w:val="16"/>
    </w:rPr>
  </w:style>
  <w:style w:type="paragraph" w:styleId="BodyText">
    <w:name w:val="Body Text"/>
    <w:basedOn w:val="Normal"/>
    <w:link w:val="BodyTextChar"/>
    <w:uiPriority w:val="99"/>
    <w:semiHidden/>
    <w:pPr>
      <w:spacing w:after="120"/>
    </w:pPr>
  </w:style>
  <w:style w:type="character" w:customStyle="1" w:styleId="BodyTextChar">
    <w:name w:val="Body Text Char"/>
    <w:basedOn w:val="DefaultParagraphFont"/>
    <w:link w:val="BodyText"/>
    <w:uiPriority w:val="99"/>
    <w:semiHidden/>
    <w:rPr>
      <w:lang w:val="en-CA"/>
    </w:rPr>
  </w:style>
  <w:style w:type="paragraph" w:styleId="FootnoteText">
    <w:name w:val="footnote text"/>
    <w:basedOn w:val="Normal"/>
    <w:link w:val="FootnoteTextChar"/>
    <w:uiPriority w:val="99"/>
    <w:semiHidden/>
    <w:unhideWhenUsed/>
    <w:pPr>
      <w:spacing w:after="60" w:line="240" w:lineRule="auto"/>
      <w:ind w:left="360" w:hanging="360"/>
    </w:pPr>
    <w:rPr>
      <w:sz w:val="18"/>
    </w:rPr>
  </w:style>
  <w:style w:type="character" w:customStyle="1" w:styleId="FootnoteTextChar">
    <w:name w:val="Footnote Text Char"/>
    <w:basedOn w:val="DefaultParagraphFont"/>
    <w:link w:val="FootnoteText"/>
    <w:uiPriority w:val="99"/>
    <w:semiHidden/>
    <w:rPr>
      <w:sz w:val="18"/>
      <w:lang w:val="en-CA"/>
    </w:rPr>
  </w:style>
  <w:style w:type="paragraph" w:styleId="BalloonText">
    <w:name w:val="Balloon Text"/>
    <w:basedOn w:val="Normal"/>
    <w:link w:val="BalloonTextChar"/>
    <w:uiPriority w:val="99"/>
    <w:semiHidden/>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CA"/>
    </w:rPr>
  </w:style>
  <w:style w:type="paragraph" w:styleId="Bibliography">
    <w:name w:val="Bibliography"/>
    <w:basedOn w:val="Normal"/>
    <w:next w:val="Normal"/>
    <w:uiPriority w:val="37"/>
    <w:semiHidden/>
  </w:style>
  <w:style w:type="paragraph" w:styleId="BodyText2">
    <w:name w:val="Body Text 2"/>
    <w:basedOn w:val="Normal"/>
    <w:link w:val="BodyText2Char"/>
    <w:uiPriority w:val="99"/>
    <w:semiHidden/>
    <w:pPr>
      <w:spacing w:after="120" w:line="480" w:lineRule="auto"/>
    </w:pPr>
  </w:style>
  <w:style w:type="character" w:customStyle="1" w:styleId="BodyText2Char">
    <w:name w:val="Body Text 2 Char"/>
    <w:basedOn w:val="DefaultParagraphFont"/>
    <w:link w:val="BodyText2"/>
    <w:uiPriority w:val="99"/>
    <w:semiHidden/>
    <w:rPr>
      <w:lang w:val="en-CA"/>
    </w:rPr>
  </w:style>
  <w:style w:type="paragraph" w:styleId="BodyText3">
    <w:name w:val="Body Text 3"/>
    <w:basedOn w:val="Normal"/>
    <w:link w:val="BodyText3Char"/>
    <w:uiPriority w:val="99"/>
    <w:semiHidden/>
    <w:pPr>
      <w:spacing w:after="120"/>
    </w:pPr>
    <w:rPr>
      <w:sz w:val="16"/>
      <w:szCs w:val="16"/>
    </w:rPr>
  </w:style>
  <w:style w:type="character" w:customStyle="1" w:styleId="BodyText3Char">
    <w:name w:val="Body Text 3 Char"/>
    <w:basedOn w:val="DefaultParagraphFont"/>
    <w:link w:val="BodyText3"/>
    <w:uiPriority w:val="99"/>
    <w:semiHidden/>
    <w:rPr>
      <w:sz w:val="16"/>
      <w:szCs w:val="16"/>
      <w:lang w:val="en-CA"/>
    </w:rPr>
  </w:style>
  <w:style w:type="paragraph" w:styleId="BodyTextFirstIndent">
    <w:name w:val="Body Text First Indent"/>
    <w:basedOn w:val="BodyText"/>
    <w:link w:val="BodyTextFirstIndentChar"/>
    <w:uiPriority w:val="99"/>
    <w:semiHidden/>
    <w:pPr>
      <w:spacing w:after="0"/>
      <w:ind w:firstLine="360"/>
    </w:pPr>
  </w:style>
  <w:style w:type="character" w:customStyle="1" w:styleId="BodyTextFirstIndentChar">
    <w:name w:val="Body Text First Indent Char"/>
    <w:basedOn w:val="BodyTextChar"/>
    <w:link w:val="BodyTextFirstIndent"/>
    <w:uiPriority w:val="99"/>
    <w:semiHidden/>
    <w:rPr>
      <w:lang w:val="en-CA"/>
    </w:rPr>
  </w:style>
  <w:style w:type="paragraph" w:styleId="BodyTextIndent">
    <w:name w:val="Body Text Indent"/>
    <w:basedOn w:val="Normal"/>
    <w:link w:val="BodyTextIndentChar"/>
    <w:uiPriority w:val="99"/>
    <w:semiHidden/>
    <w:pPr>
      <w:spacing w:after="120"/>
      <w:ind w:left="360"/>
    </w:pPr>
  </w:style>
  <w:style w:type="character" w:customStyle="1" w:styleId="BodyTextIndentChar">
    <w:name w:val="Body Text Indent Char"/>
    <w:basedOn w:val="DefaultParagraphFont"/>
    <w:link w:val="BodyTextIndent"/>
    <w:uiPriority w:val="99"/>
    <w:semiHidden/>
    <w:rPr>
      <w:lang w:val="en-CA"/>
    </w:rPr>
  </w:style>
  <w:style w:type="paragraph" w:styleId="BodyTextFirstIndent2">
    <w:name w:val="Body Text First Indent 2"/>
    <w:basedOn w:val="BodyTextIndent"/>
    <w:link w:val="BodyTextFirstIndent2Char"/>
    <w:uiPriority w:val="99"/>
    <w:semiHidden/>
    <w:pPr>
      <w:spacing w:after="0"/>
      <w:ind w:firstLine="360"/>
    </w:pPr>
  </w:style>
  <w:style w:type="character" w:customStyle="1" w:styleId="BodyTextFirstIndent2Char">
    <w:name w:val="Body Text First Indent 2 Char"/>
    <w:basedOn w:val="BodyTextIndentChar"/>
    <w:link w:val="BodyTextFirstIndent2"/>
    <w:uiPriority w:val="99"/>
    <w:semiHidden/>
    <w:rPr>
      <w:lang w:val="en-CA"/>
    </w:rPr>
  </w:style>
  <w:style w:type="paragraph" w:styleId="BodyTextIndent2">
    <w:name w:val="Body Text Indent 2"/>
    <w:basedOn w:val="Normal"/>
    <w:link w:val="BodyTextIndent2Char"/>
    <w:uiPriority w:val="99"/>
    <w:semiHidden/>
    <w:pPr>
      <w:spacing w:after="120" w:line="480" w:lineRule="auto"/>
      <w:ind w:left="360"/>
    </w:pPr>
  </w:style>
  <w:style w:type="character" w:customStyle="1" w:styleId="BodyTextIndent2Char">
    <w:name w:val="Body Text Indent 2 Char"/>
    <w:basedOn w:val="DefaultParagraphFont"/>
    <w:link w:val="BodyTextIndent2"/>
    <w:uiPriority w:val="99"/>
    <w:semiHidden/>
    <w:rPr>
      <w:lang w:val="en-CA"/>
    </w:rPr>
  </w:style>
  <w:style w:type="paragraph" w:styleId="BodyTextIndent3">
    <w:name w:val="Body Text Indent 3"/>
    <w:basedOn w:val="Normal"/>
    <w:link w:val="BodyTextIndent3Char"/>
    <w:uiPriority w:val="99"/>
    <w:semiHidden/>
    <w:pPr>
      <w:spacing w:after="120"/>
      <w:ind w:left="360"/>
    </w:pPr>
    <w:rPr>
      <w:sz w:val="16"/>
      <w:szCs w:val="16"/>
    </w:rPr>
  </w:style>
  <w:style w:type="character" w:customStyle="1" w:styleId="BodyTextIndent3Char">
    <w:name w:val="Body Text Indent 3 Char"/>
    <w:basedOn w:val="DefaultParagraphFont"/>
    <w:link w:val="BodyTextIndent3"/>
    <w:uiPriority w:val="99"/>
    <w:semiHidden/>
    <w:rPr>
      <w:sz w:val="16"/>
      <w:szCs w:val="16"/>
      <w:lang w:val="en-CA"/>
    </w:rPr>
  </w:style>
  <w:style w:type="character" w:styleId="BookTitle">
    <w:name w:val="Book Title"/>
    <w:basedOn w:val="DefaultParagraphFont"/>
    <w:uiPriority w:val="33"/>
    <w:semiHidden/>
    <w:rPr>
      <w:b/>
      <w:bCs/>
      <w:smallCaps/>
      <w:spacing w:val="5"/>
      <w:lang w:val="en-CA"/>
    </w:rPr>
  </w:style>
  <w:style w:type="paragraph" w:styleId="Caption">
    <w:name w:val="caption"/>
    <w:basedOn w:val="Normal"/>
    <w:next w:val="Normal"/>
    <w:uiPriority w:val="35"/>
    <w:semiHidden/>
    <w:qFormat/>
    <w:pPr>
      <w:spacing w:after="200" w:line="240" w:lineRule="auto"/>
    </w:pPr>
    <w:rPr>
      <w:b/>
      <w:bCs/>
      <w:color w:val="4F81BD" w:themeColor="accent1"/>
      <w:sz w:val="18"/>
      <w:szCs w:val="18"/>
    </w:rPr>
  </w:style>
  <w:style w:type="paragraph" w:styleId="Closing">
    <w:name w:val="Closing"/>
    <w:basedOn w:val="Normal"/>
    <w:link w:val="ClosingChar"/>
    <w:uiPriority w:val="99"/>
    <w:semiHidden/>
    <w:unhideWhenUsed/>
    <w:pPr>
      <w:spacing w:line="240" w:lineRule="auto"/>
      <w:ind w:left="4320"/>
    </w:pPr>
  </w:style>
  <w:style w:type="character" w:customStyle="1" w:styleId="ClosingChar">
    <w:name w:val="Closing Char"/>
    <w:basedOn w:val="DefaultParagraphFont"/>
    <w:link w:val="Closing"/>
    <w:uiPriority w:val="99"/>
    <w:semiHidden/>
    <w:rPr>
      <w:lang w:val="en-CA"/>
    </w:rPr>
  </w:style>
  <w:style w:type="table" w:styleId="ColorfulGrid">
    <w:name w:val="Colorful Grid"/>
    <w:basedOn w:val="TableNormal"/>
    <w:uiPriority w:val="7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pPr>
      <w:spacing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pPr>
      <w:spacing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pPr>
      <w:spacing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pPr>
      <w:spacing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pPr>
      <w:spacing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pPr>
      <w:spacing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pPr>
      <w:spacing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pPr>
      <w:spacing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pPr>
      <w:spacing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pPr>
      <w:spacing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pPr>
      <w:spacing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pPr>
      <w:spacing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pPr>
      <w:spacing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rPr>
      <w:sz w:val="16"/>
      <w:szCs w:val="16"/>
      <w:lang w:val="en-CA"/>
    </w:rPr>
  </w:style>
  <w:style w:type="paragraph" w:styleId="CommentText">
    <w:name w:val="annotation text"/>
    <w:basedOn w:val="Normal"/>
    <w:link w:val="CommentTextChar"/>
    <w:uiPriority w:val="99"/>
    <w:semiHidden/>
    <w:pPr>
      <w:spacing w:line="240" w:lineRule="auto"/>
    </w:pPr>
  </w:style>
  <w:style w:type="character" w:customStyle="1" w:styleId="CommentTextChar">
    <w:name w:val="Comment Text Char"/>
    <w:basedOn w:val="DefaultParagraphFont"/>
    <w:link w:val="CommentText"/>
    <w:uiPriority w:val="99"/>
    <w:semiHidden/>
    <w:rPr>
      <w:lang w:val="en-CA"/>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rPr>
      <w:b/>
      <w:bCs/>
      <w:lang w:val="en-CA"/>
    </w:rPr>
  </w:style>
  <w:style w:type="table" w:styleId="DarkList">
    <w:name w:val="Dark List"/>
    <w:basedOn w:val="TableNormal"/>
    <w:uiPriority w:val="70"/>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pPr>
      <w:spacing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pPr>
      <w:spacing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pPr>
      <w:spacing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pPr>
      <w:spacing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pPr>
      <w:spacing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pPr>
      <w:spacing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style>
  <w:style w:type="character" w:customStyle="1" w:styleId="DateChar">
    <w:name w:val="Date Char"/>
    <w:basedOn w:val="DefaultParagraphFont"/>
    <w:link w:val="Date"/>
    <w:uiPriority w:val="99"/>
    <w:semiHidden/>
    <w:rPr>
      <w:lang w:val="en-CA"/>
    </w:rPr>
  </w:style>
  <w:style w:type="paragraph" w:styleId="DocumentMap">
    <w:name w:val="Document Map"/>
    <w:basedOn w:val="Normal"/>
    <w:link w:val="DocumentMapChar"/>
    <w:uiPriority w:val="99"/>
    <w:semiHidden/>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Pr>
      <w:rFonts w:ascii="Tahoma" w:hAnsi="Tahoma" w:cs="Tahoma"/>
      <w:sz w:val="16"/>
      <w:szCs w:val="16"/>
      <w:lang w:val="en-CA"/>
    </w:rPr>
  </w:style>
  <w:style w:type="paragraph" w:styleId="E-mailSignature">
    <w:name w:val="E-mail Signature"/>
    <w:basedOn w:val="Normal"/>
    <w:link w:val="E-mailSignatureChar"/>
    <w:uiPriority w:val="99"/>
    <w:semiHidden/>
    <w:pPr>
      <w:spacing w:line="240" w:lineRule="auto"/>
    </w:pPr>
  </w:style>
  <w:style w:type="character" w:customStyle="1" w:styleId="E-mailSignatureChar">
    <w:name w:val="E-mail Signature Char"/>
    <w:basedOn w:val="DefaultParagraphFont"/>
    <w:link w:val="E-mailSignature"/>
    <w:uiPriority w:val="99"/>
    <w:semiHidden/>
    <w:rPr>
      <w:lang w:val="en-CA"/>
    </w:rPr>
  </w:style>
  <w:style w:type="character" w:styleId="Emphasis">
    <w:name w:val="Emphasis"/>
    <w:basedOn w:val="DefaultParagraphFont"/>
    <w:uiPriority w:val="20"/>
    <w:semiHidden/>
    <w:rPr>
      <w:i/>
      <w:iCs/>
      <w:lang w:val="en-CA"/>
    </w:rPr>
  </w:style>
  <w:style w:type="character" w:styleId="EndnoteReference">
    <w:name w:val="endnote reference"/>
    <w:basedOn w:val="DefaultParagraphFont"/>
    <w:uiPriority w:val="99"/>
    <w:semiHidden/>
    <w:rPr>
      <w:vertAlign w:val="superscript"/>
      <w:lang w:val="en-CA"/>
    </w:rPr>
  </w:style>
  <w:style w:type="paragraph" w:styleId="EndnoteText">
    <w:name w:val="endnote text"/>
    <w:basedOn w:val="Normal"/>
    <w:link w:val="EndnoteTextChar"/>
    <w:uiPriority w:val="99"/>
    <w:semiHidden/>
    <w:pPr>
      <w:spacing w:line="240" w:lineRule="auto"/>
    </w:pPr>
    <w:rPr>
      <w:sz w:val="18"/>
    </w:rPr>
  </w:style>
  <w:style w:type="character" w:customStyle="1" w:styleId="EndnoteTextChar">
    <w:name w:val="Endnote Text Char"/>
    <w:basedOn w:val="DefaultParagraphFont"/>
    <w:link w:val="EndnoteText"/>
    <w:uiPriority w:val="99"/>
    <w:semiHidden/>
    <w:rPr>
      <w:sz w:val="18"/>
      <w:lang w:val="en-CA"/>
    </w:rPr>
  </w:style>
  <w:style w:type="character" w:styleId="FollowedHyperlink">
    <w:name w:val="FollowedHyperlink"/>
    <w:basedOn w:val="DefaultParagraphFont"/>
    <w:uiPriority w:val="99"/>
    <w:semiHidden/>
    <w:rPr>
      <w:color w:val="800080" w:themeColor="followedHyperlink"/>
      <w:u w:val="single"/>
      <w:lang w:val="en-CA"/>
    </w:rPr>
  </w:style>
  <w:style w:type="character" w:styleId="FootnoteReference">
    <w:name w:val="footnote reference"/>
    <w:basedOn w:val="DefaultParagraphFont"/>
    <w:uiPriority w:val="99"/>
    <w:semiHidden/>
    <w:rPr>
      <w:vertAlign w:val="superscript"/>
      <w:lang w:val="en-CA"/>
    </w:rPr>
  </w:style>
  <w:style w:type="character" w:styleId="HTMLAcronym">
    <w:name w:val="HTML Acronym"/>
    <w:basedOn w:val="DefaultParagraphFont"/>
    <w:uiPriority w:val="99"/>
    <w:semiHidden/>
    <w:rPr>
      <w:lang w:val="en-CA"/>
    </w:rPr>
  </w:style>
  <w:style w:type="paragraph" w:styleId="HTMLAddress">
    <w:name w:val="HTML Address"/>
    <w:basedOn w:val="Normal"/>
    <w:link w:val="HTMLAddressChar"/>
    <w:uiPriority w:val="99"/>
    <w:semiHidden/>
    <w:pPr>
      <w:spacing w:line="240" w:lineRule="auto"/>
    </w:pPr>
    <w:rPr>
      <w:i/>
      <w:iCs/>
    </w:rPr>
  </w:style>
  <w:style w:type="character" w:customStyle="1" w:styleId="HTMLAddressChar">
    <w:name w:val="HTML Address Char"/>
    <w:basedOn w:val="DefaultParagraphFont"/>
    <w:link w:val="HTMLAddress"/>
    <w:uiPriority w:val="99"/>
    <w:semiHidden/>
    <w:rPr>
      <w:i/>
      <w:iCs/>
      <w:lang w:val="en-CA"/>
    </w:rPr>
  </w:style>
  <w:style w:type="character" w:styleId="HTMLCite">
    <w:name w:val="HTML Cite"/>
    <w:basedOn w:val="DefaultParagraphFont"/>
    <w:uiPriority w:val="99"/>
    <w:semiHidden/>
    <w:rPr>
      <w:i/>
      <w:iCs/>
      <w:lang w:val="en-CA"/>
    </w:rPr>
  </w:style>
  <w:style w:type="character" w:styleId="HTMLCode">
    <w:name w:val="HTML Code"/>
    <w:basedOn w:val="DefaultParagraphFont"/>
    <w:uiPriority w:val="99"/>
    <w:semiHidden/>
    <w:rPr>
      <w:rFonts w:ascii="Consolas" w:hAnsi="Consolas"/>
      <w:sz w:val="20"/>
      <w:szCs w:val="20"/>
      <w:lang w:val="en-CA"/>
    </w:rPr>
  </w:style>
  <w:style w:type="character" w:styleId="HTMLDefinition">
    <w:name w:val="HTML Definition"/>
    <w:basedOn w:val="DefaultParagraphFont"/>
    <w:uiPriority w:val="99"/>
    <w:semiHidden/>
    <w:rPr>
      <w:i/>
      <w:iCs/>
      <w:lang w:val="en-CA"/>
    </w:rPr>
  </w:style>
  <w:style w:type="character" w:styleId="HTMLKeyboard">
    <w:name w:val="HTML Keyboard"/>
    <w:basedOn w:val="DefaultParagraphFont"/>
    <w:uiPriority w:val="99"/>
    <w:semiHidden/>
    <w:rPr>
      <w:rFonts w:ascii="Consolas" w:hAnsi="Consolas"/>
      <w:sz w:val="20"/>
      <w:szCs w:val="20"/>
      <w:lang w:val="en-CA"/>
    </w:rPr>
  </w:style>
  <w:style w:type="paragraph" w:styleId="HTMLPreformatted">
    <w:name w:val="HTML Preformatted"/>
    <w:basedOn w:val="Normal"/>
    <w:link w:val="HTMLPreformattedChar"/>
    <w:uiPriority w:val="99"/>
    <w:semiHidden/>
    <w:pPr>
      <w:spacing w:line="240" w:lineRule="auto"/>
    </w:pPr>
    <w:rPr>
      <w:rFonts w:ascii="Consolas" w:hAnsi="Consolas"/>
    </w:rPr>
  </w:style>
  <w:style w:type="character" w:customStyle="1" w:styleId="HTMLPreformattedChar">
    <w:name w:val="HTML Preformatted Char"/>
    <w:basedOn w:val="DefaultParagraphFont"/>
    <w:link w:val="HTMLPreformatted"/>
    <w:uiPriority w:val="99"/>
    <w:semiHidden/>
    <w:rPr>
      <w:rFonts w:ascii="Consolas" w:hAnsi="Consolas"/>
      <w:lang w:val="en-CA"/>
    </w:rPr>
  </w:style>
  <w:style w:type="character" w:styleId="HTMLSample">
    <w:name w:val="HTML Sample"/>
    <w:basedOn w:val="DefaultParagraphFont"/>
    <w:uiPriority w:val="99"/>
    <w:semiHidden/>
    <w:rPr>
      <w:rFonts w:ascii="Consolas" w:hAnsi="Consolas"/>
      <w:sz w:val="24"/>
      <w:szCs w:val="24"/>
      <w:lang w:val="en-CA"/>
    </w:rPr>
  </w:style>
  <w:style w:type="character" w:styleId="HTMLTypewriter">
    <w:name w:val="HTML Typewriter"/>
    <w:basedOn w:val="DefaultParagraphFont"/>
    <w:uiPriority w:val="99"/>
    <w:semiHidden/>
    <w:rPr>
      <w:rFonts w:ascii="Consolas" w:hAnsi="Consolas"/>
      <w:sz w:val="20"/>
      <w:szCs w:val="20"/>
      <w:lang w:val="en-CA"/>
    </w:rPr>
  </w:style>
  <w:style w:type="character" w:styleId="HTMLVariable">
    <w:name w:val="HTML Variable"/>
    <w:basedOn w:val="DefaultParagraphFont"/>
    <w:uiPriority w:val="99"/>
    <w:semiHidden/>
    <w:rPr>
      <w:i/>
      <w:iCs/>
      <w:lang w:val="en-CA"/>
    </w:rPr>
  </w:style>
  <w:style w:type="character" w:styleId="Hyperlink">
    <w:name w:val="Hyperlink"/>
    <w:basedOn w:val="DefaultParagraphFont"/>
    <w:uiPriority w:val="99"/>
    <w:semiHidden/>
    <w:rPr>
      <w:color w:val="0000FF" w:themeColor="hyperlink"/>
      <w:u w:val="single"/>
      <w:lang w:val="en-CA"/>
    </w:rPr>
  </w:style>
  <w:style w:type="paragraph" w:styleId="Index2">
    <w:name w:val="index 2"/>
    <w:basedOn w:val="Normal"/>
    <w:next w:val="Normal"/>
    <w:autoRedefine/>
    <w:uiPriority w:val="99"/>
    <w:semiHidden/>
    <w:pPr>
      <w:spacing w:line="240" w:lineRule="auto"/>
      <w:ind w:left="400" w:hanging="200"/>
    </w:pPr>
  </w:style>
  <w:style w:type="paragraph" w:styleId="Index3">
    <w:name w:val="index 3"/>
    <w:basedOn w:val="Normal"/>
    <w:next w:val="Normal"/>
    <w:autoRedefine/>
    <w:uiPriority w:val="99"/>
    <w:semiHidden/>
    <w:pPr>
      <w:spacing w:line="240" w:lineRule="auto"/>
      <w:ind w:left="600" w:hanging="200"/>
    </w:pPr>
  </w:style>
  <w:style w:type="paragraph" w:styleId="Index4">
    <w:name w:val="index 4"/>
    <w:basedOn w:val="Normal"/>
    <w:next w:val="Normal"/>
    <w:autoRedefine/>
    <w:uiPriority w:val="99"/>
    <w:semiHidden/>
    <w:pPr>
      <w:spacing w:line="240" w:lineRule="auto"/>
      <w:ind w:left="800" w:hanging="200"/>
    </w:pPr>
  </w:style>
  <w:style w:type="paragraph" w:styleId="Index5">
    <w:name w:val="index 5"/>
    <w:basedOn w:val="Normal"/>
    <w:next w:val="Normal"/>
    <w:autoRedefine/>
    <w:uiPriority w:val="99"/>
    <w:semiHidden/>
    <w:pPr>
      <w:spacing w:line="240" w:lineRule="auto"/>
      <w:ind w:left="1000" w:hanging="200"/>
    </w:pPr>
  </w:style>
  <w:style w:type="paragraph" w:styleId="Index6">
    <w:name w:val="index 6"/>
    <w:basedOn w:val="Normal"/>
    <w:next w:val="Normal"/>
    <w:autoRedefine/>
    <w:uiPriority w:val="99"/>
    <w:semiHidden/>
    <w:pPr>
      <w:spacing w:line="240" w:lineRule="auto"/>
      <w:ind w:left="1200" w:hanging="200"/>
    </w:pPr>
  </w:style>
  <w:style w:type="paragraph" w:styleId="Index7">
    <w:name w:val="index 7"/>
    <w:basedOn w:val="Normal"/>
    <w:next w:val="Normal"/>
    <w:autoRedefine/>
    <w:uiPriority w:val="99"/>
    <w:semiHidden/>
    <w:pPr>
      <w:spacing w:line="240" w:lineRule="auto"/>
      <w:ind w:left="1400" w:hanging="200"/>
    </w:pPr>
  </w:style>
  <w:style w:type="paragraph" w:styleId="Index8">
    <w:name w:val="index 8"/>
    <w:basedOn w:val="Normal"/>
    <w:next w:val="Normal"/>
    <w:autoRedefine/>
    <w:uiPriority w:val="99"/>
    <w:semiHidden/>
    <w:pPr>
      <w:spacing w:line="240" w:lineRule="auto"/>
      <w:ind w:left="1600" w:hanging="200"/>
    </w:pPr>
  </w:style>
  <w:style w:type="paragraph" w:styleId="Index9">
    <w:name w:val="index 9"/>
    <w:basedOn w:val="Normal"/>
    <w:next w:val="Normal"/>
    <w:autoRedefine/>
    <w:uiPriority w:val="99"/>
    <w:semiHidden/>
    <w:pPr>
      <w:spacing w:line="240" w:lineRule="auto"/>
      <w:ind w:left="1800" w:hanging="200"/>
    </w:pPr>
  </w:style>
  <w:style w:type="character" w:styleId="IntenseEmphasis">
    <w:name w:val="Intense Emphasis"/>
    <w:basedOn w:val="DefaultParagraphFont"/>
    <w:uiPriority w:val="21"/>
    <w:semiHidden/>
    <w:rPr>
      <w:b/>
      <w:bCs/>
      <w:i/>
      <w:iCs/>
      <w:color w:val="4F81BD" w:themeColor="accent1"/>
      <w:lang w:val="en-CA"/>
    </w:rPr>
  </w:style>
  <w:style w:type="paragraph" w:styleId="IntenseQuote">
    <w:name w:val="Intense Quote"/>
    <w:basedOn w:val="Normal"/>
    <w:next w:val="Normal"/>
    <w:link w:val="IntenseQuoteChar"/>
    <w:uiPriority w:val="30"/>
    <w:semiHidden/>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Pr>
      <w:b/>
      <w:bCs/>
      <w:i/>
      <w:iCs/>
      <w:color w:val="4F81BD" w:themeColor="accent1"/>
      <w:lang w:val="en-CA"/>
    </w:rPr>
  </w:style>
  <w:style w:type="character" w:styleId="IntenseReference">
    <w:name w:val="Intense Reference"/>
    <w:basedOn w:val="DefaultParagraphFont"/>
    <w:uiPriority w:val="32"/>
    <w:semiHidden/>
    <w:rPr>
      <w:b/>
      <w:bCs/>
      <w:smallCaps/>
      <w:color w:val="C0504D" w:themeColor="accent2"/>
      <w:spacing w:val="5"/>
      <w:u w:val="single"/>
      <w:lang w:val="en-CA"/>
    </w:rPr>
  </w:style>
  <w:style w:type="table" w:styleId="LightGrid">
    <w:name w:val="Light Grid"/>
    <w:basedOn w:val="TableNormal"/>
    <w:uiPriority w:val="62"/>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pPr>
      <w:spacing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pPr>
      <w:spacing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pPr>
      <w:spacing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pPr>
      <w:spacing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pPr>
      <w:spacing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pPr>
      <w:spacing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pPr>
      <w:spacing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pPr>
      <w:spacing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pPr>
      <w:spacing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pPr>
      <w:spacing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pPr>
      <w:spacing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pPr>
      <w:spacing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pPr>
      <w:spacing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pPr>
      <w:spacing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pPr>
      <w:spacing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pPr>
      <w:spacing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pPr>
      <w:spacing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pPr>
      <w:spacing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rPr>
      <w:lang w:val="en-CA"/>
    </w:rPr>
  </w:style>
  <w:style w:type="paragraph" w:styleId="List">
    <w:name w:val="List"/>
    <w:basedOn w:val="Normal"/>
    <w:uiPriority w:val="99"/>
    <w:semiHidden/>
    <w:pPr>
      <w:ind w:left="360" w:hanging="360"/>
      <w:contextualSpacing/>
    </w:pPr>
  </w:style>
  <w:style w:type="paragraph" w:styleId="List2">
    <w:name w:val="List 2"/>
    <w:basedOn w:val="Normal"/>
    <w:uiPriority w:val="99"/>
    <w:semiHidden/>
    <w:pPr>
      <w:ind w:left="720" w:hanging="360"/>
      <w:contextualSpacing/>
    </w:pPr>
  </w:style>
  <w:style w:type="paragraph" w:styleId="List3">
    <w:name w:val="List 3"/>
    <w:basedOn w:val="Normal"/>
    <w:uiPriority w:val="99"/>
    <w:semiHidden/>
    <w:pPr>
      <w:ind w:left="1080" w:hanging="360"/>
      <w:contextualSpacing/>
    </w:pPr>
  </w:style>
  <w:style w:type="paragraph" w:styleId="List4">
    <w:name w:val="List 4"/>
    <w:basedOn w:val="Normal"/>
    <w:uiPriority w:val="99"/>
    <w:semiHidden/>
    <w:pPr>
      <w:ind w:left="1440" w:hanging="360"/>
      <w:contextualSpacing/>
    </w:pPr>
  </w:style>
  <w:style w:type="paragraph" w:styleId="List5">
    <w:name w:val="List 5"/>
    <w:basedOn w:val="Normal"/>
    <w:uiPriority w:val="99"/>
    <w:semiHidden/>
    <w:pPr>
      <w:ind w:left="1800" w:hanging="360"/>
      <w:contextualSpacing/>
    </w:pPr>
  </w:style>
  <w:style w:type="paragraph" w:styleId="ListBullet">
    <w:name w:val="List Bullet"/>
    <w:basedOn w:val="Normal"/>
    <w:uiPriority w:val="99"/>
    <w:semiHidden/>
    <w:pPr>
      <w:numPr>
        <w:numId w:val="3"/>
      </w:numPr>
      <w:contextualSpacing/>
    </w:pPr>
  </w:style>
  <w:style w:type="paragraph" w:styleId="ListBullet2">
    <w:name w:val="List Bullet 2"/>
    <w:basedOn w:val="Normal"/>
    <w:uiPriority w:val="99"/>
    <w:semiHidden/>
    <w:pPr>
      <w:numPr>
        <w:numId w:val="4"/>
      </w:numPr>
      <w:contextualSpacing/>
    </w:pPr>
  </w:style>
  <w:style w:type="paragraph" w:styleId="ListBullet3">
    <w:name w:val="List Bullet 3"/>
    <w:basedOn w:val="Normal"/>
    <w:uiPriority w:val="99"/>
    <w:semiHidden/>
    <w:pPr>
      <w:numPr>
        <w:numId w:val="5"/>
      </w:numPr>
      <w:contextualSpacing/>
    </w:pPr>
  </w:style>
  <w:style w:type="paragraph" w:styleId="ListBullet4">
    <w:name w:val="List Bullet 4"/>
    <w:basedOn w:val="Normal"/>
    <w:uiPriority w:val="99"/>
    <w:semiHidden/>
    <w:pPr>
      <w:numPr>
        <w:numId w:val="6"/>
      </w:numPr>
      <w:contextualSpacing/>
    </w:pPr>
  </w:style>
  <w:style w:type="paragraph" w:styleId="ListBullet5">
    <w:name w:val="List Bullet 5"/>
    <w:basedOn w:val="Normal"/>
    <w:uiPriority w:val="99"/>
    <w:semiHidden/>
    <w:pPr>
      <w:numPr>
        <w:numId w:val="7"/>
      </w:numPr>
      <w:contextualSpacing/>
    </w:pPr>
  </w:style>
  <w:style w:type="paragraph" w:styleId="ListContinue">
    <w:name w:val="List Continue"/>
    <w:basedOn w:val="Normal"/>
    <w:uiPriority w:val="99"/>
    <w:semiHidden/>
    <w:pPr>
      <w:spacing w:after="120"/>
      <w:ind w:left="360"/>
      <w:contextualSpacing/>
    </w:pPr>
  </w:style>
  <w:style w:type="paragraph" w:styleId="ListContinue2">
    <w:name w:val="List Continue 2"/>
    <w:basedOn w:val="Normal"/>
    <w:uiPriority w:val="99"/>
    <w:semiHidden/>
    <w:pPr>
      <w:spacing w:after="120"/>
      <w:ind w:left="720"/>
      <w:contextualSpacing/>
    </w:pPr>
  </w:style>
  <w:style w:type="paragraph" w:styleId="ListContinue3">
    <w:name w:val="List Continue 3"/>
    <w:basedOn w:val="Normal"/>
    <w:uiPriority w:val="99"/>
    <w:semiHidden/>
    <w:pPr>
      <w:spacing w:after="120"/>
      <w:ind w:left="1080"/>
      <w:contextualSpacing/>
    </w:pPr>
  </w:style>
  <w:style w:type="paragraph" w:styleId="ListContinue4">
    <w:name w:val="List Continue 4"/>
    <w:basedOn w:val="Normal"/>
    <w:uiPriority w:val="99"/>
    <w:semiHidden/>
    <w:pPr>
      <w:spacing w:after="120"/>
      <w:ind w:left="1440"/>
      <w:contextualSpacing/>
    </w:pPr>
  </w:style>
  <w:style w:type="paragraph" w:styleId="ListContinue5">
    <w:name w:val="List Continue 5"/>
    <w:basedOn w:val="Normal"/>
    <w:uiPriority w:val="99"/>
    <w:semiHidden/>
    <w:pPr>
      <w:spacing w:after="120"/>
      <w:ind w:left="1800"/>
      <w:contextualSpacing/>
    </w:pPr>
  </w:style>
  <w:style w:type="paragraph" w:styleId="ListNumber">
    <w:name w:val="List Number"/>
    <w:basedOn w:val="Normal"/>
    <w:uiPriority w:val="99"/>
    <w:semiHidden/>
    <w:pPr>
      <w:numPr>
        <w:numId w:val="8"/>
      </w:numPr>
      <w:contextualSpacing/>
    </w:pPr>
  </w:style>
  <w:style w:type="paragraph" w:styleId="ListNumber2">
    <w:name w:val="List Number 2"/>
    <w:basedOn w:val="Normal"/>
    <w:uiPriority w:val="99"/>
    <w:semiHidden/>
    <w:pPr>
      <w:numPr>
        <w:numId w:val="9"/>
      </w:numPr>
      <w:contextualSpacing/>
    </w:pPr>
  </w:style>
  <w:style w:type="paragraph" w:styleId="ListNumber3">
    <w:name w:val="List Number 3"/>
    <w:basedOn w:val="Normal"/>
    <w:uiPriority w:val="99"/>
    <w:semiHidden/>
    <w:pPr>
      <w:numPr>
        <w:numId w:val="10"/>
      </w:numPr>
      <w:contextualSpacing/>
    </w:pPr>
  </w:style>
  <w:style w:type="paragraph" w:styleId="ListNumber4">
    <w:name w:val="List Number 4"/>
    <w:basedOn w:val="Normal"/>
    <w:uiPriority w:val="99"/>
    <w:semiHidden/>
    <w:pPr>
      <w:numPr>
        <w:numId w:val="11"/>
      </w:numPr>
      <w:contextualSpacing/>
    </w:pPr>
  </w:style>
  <w:style w:type="paragraph" w:styleId="ListNumber5">
    <w:name w:val="List Number 5"/>
    <w:basedOn w:val="Normal"/>
    <w:uiPriority w:val="99"/>
    <w:semiHidden/>
    <w:pPr>
      <w:numPr>
        <w:numId w:val="12"/>
      </w:numPr>
      <w:contextualSpacing/>
    </w:pPr>
  </w:style>
  <w:style w:type="paragraph" w:styleId="MacroText">
    <w:name w:val="macro"/>
    <w:link w:val="MacroTextChar"/>
    <w:uiPriority w:val="99"/>
    <w:semiHidden/>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CA"/>
    </w:rPr>
  </w:style>
  <w:style w:type="character" w:customStyle="1" w:styleId="MacroTextChar">
    <w:name w:val="Macro Text Char"/>
    <w:basedOn w:val="DefaultParagraphFont"/>
    <w:link w:val="MacroText"/>
    <w:uiPriority w:val="99"/>
    <w:semiHidden/>
    <w:rPr>
      <w:rFonts w:ascii="Consolas" w:hAnsi="Consolas"/>
      <w:lang w:val="en-CA"/>
    </w:rPr>
  </w:style>
  <w:style w:type="table" w:styleId="MediumGrid1">
    <w:name w:val="Medium Grid 1"/>
    <w:basedOn w:val="TableNormal"/>
    <w:uiPriority w:val="67"/>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pPr>
      <w:spacing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pPr>
      <w:spacing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pPr>
      <w:spacing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pPr>
      <w:spacing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pPr>
      <w:spacing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pPr>
      <w:spacing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3">
    <w:name w:val="Medium Grid 3"/>
    <w:basedOn w:val="TableNormal"/>
    <w:uiPriority w:val="69"/>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pPr>
      <w:spacing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pPr>
      <w:spacing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pPr>
      <w:spacing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pPr>
      <w:spacing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pPr>
      <w:spacing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pPr>
      <w:spacing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Shading1">
    <w:name w:val="Medium Shading 1"/>
    <w:basedOn w:val="TableNormal"/>
    <w:uiPriority w:val="63"/>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pPr>
      <w:spacing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pPr>
      <w:spacing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pPr>
      <w:spacing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pPr>
      <w:spacing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pPr>
      <w:spacing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pPr>
      <w:spacing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oSpacing">
    <w:name w:val="No Spacing"/>
    <w:uiPriority w:val="1"/>
    <w:semiHidden/>
    <w:pPr>
      <w:spacing w:line="240" w:lineRule="auto"/>
    </w:pPr>
    <w:rPr>
      <w:lang w:val="en-CA"/>
    </w:rPr>
  </w:style>
  <w:style w:type="paragraph" w:styleId="NormalWeb">
    <w:name w:val="Normal (Web)"/>
    <w:basedOn w:val="Normal"/>
    <w:uiPriority w:val="99"/>
    <w:semiHidden/>
    <w:rPr>
      <w:rFonts w:ascii="Times New Roman" w:hAnsi="Times New Roman" w:cs="Times New Roman"/>
      <w:sz w:val="24"/>
      <w:szCs w:val="24"/>
    </w:rPr>
  </w:style>
  <w:style w:type="paragraph" w:styleId="NormalIndent">
    <w:name w:val="Normal Indent"/>
    <w:basedOn w:val="Normal"/>
    <w:uiPriority w:val="99"/>
    <w:semiHidden/>
    <w:pPr>
      <w:ind w:left="720"/>
    </w:pPr>
  </w:style>
  <w:style w:type="paragraph" w:styleId="NoteHeading">
    <w:name w:val="Note Heading"/>
    <w:basedOn w:val="Normal"/>
    <w:next w:val="Normal"/>
    <w:link w:val="NoteHeadingChar"/>
    <w:uiPriority w:val="99"/>
    <w:semiHidden/>
    <w:pPr>
      <w:spacing w:line="240" w:lineRule="auto"/>
    </w:pPr>
  </w:style>
  <w:style w:type="character" w:customStyle="1" w:styleId="NoteHeadingChar">
    <w:name w:val="Note Heading Char"/>
    <w:basedOn w:val="DefaultParagraphFont"/>
    <w:link w:val="NoteHeading"/>
    <w:uiPriority w:val="99"/>
    <w:semiHidden/>
    <w:rPr>
      <w:lang w:val="en-CA"/>
    </w:rPr>
  </w:style>
  <w:style w:type="character" w:styleId="PageNumber">
    <w:name w:val="page number"/>
    <w:basedOn w:val="DefaultParagraphFont"/>
    <w:uiPriority w:val="99"/>
    <w:semiHidden/>
    <w:rPr>
      <w:lang w:val="en-CA"/>
    </w:rPr>
  </w:style>
  <w:style w:type="character" w:styleId="PlaceholderText">
    <w:name w:val="Placeholder Text"/>
    <w:basedOn w:val="DefaultParagraphFont"/>
    <w:uiPriority w:val="99"/>
    <w:semiHidden/>
    <w:rPr>
      <w:color w:val="808080"/>
      <w:lang w:val="en-CA"/>
    </w:rPr>
  </w:style>
  <w:style w:type="paragraph" w:styleId="PlainText">
    <w:name w:val="Plain Text"/>
    <w:basedOn w:val="Normal"/>
    <w:link w:val="PlainTextChar"/>
    <w:uiPriority w:val="99"/>
    <w:semiHidden/>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Pr>
      <w:rFonts w:ascii="Consolas" w:hAnsi="Consolas"/>
      <w:sz w:val="21"/>
      <w:szCs w:val="21"/>
      <w:lang w:val="en-CA"/>
    </w:rPr>
  </w:style>
  <w:style w:type="paragraph" w:styleId="Quote">
    <w:name w:val="Quote"/>
    <w:basedOn w:val="Normal"/>
    <w:next w:val="Normal"/>
    <w:link w:val="QuoteChar"/>
    <w:uiPriority w:val="29"/>
    <w:semiHidden/>
    <w:rPr>
      <w:i/>
      <w:iCs/>
      <w:color w:val="000000" w:themeColor="text1"/>
    </w:rPr>
  </w:style>
  <w:style w:type="character" w:customStyle="1" w:styleId="QuoteChar">
    <w:name w:val="Quote Char"/>
    <w:basedOn w:val="DefaultParagraphFont"/>
    <w:link w:val="Quote"/>
    <w:uiPriority w:val="29"/>
    <w:semiHidden/>
    <w:rPr>
      <w:i/>
      <w:iCs/>
      <w:color w:val="000000" w:themeColor="text1"/>
      <w:lang w:val="en-CA"/>
    </w:rPr>
  </w:style>
  <w:style w:type="paragraph" w:styleId="Salutation">
    <w:name w:val="Salutation"/>
    <w:basedOn w:val="Normal"/>
    <w:next w:val="Normal"/>
    <w:link w:val="SalutationChar"/>
    <w:uiPriority w:val="99"/>
    <w:semiHidden/>
  </w:style>
  <w:style w:type="character" w:customStyle="1" w:styleId="SalutationChar">
    <w:name w:val="Salutation Char"/>
    <w:basedOn w:val="DefaultParagraphFont"/>
    <w:link w:val="Salutation"/>
    <w:uiPriority w:val="99"/>
    <w:semiHidden/>
    <w:rPr>
      <w:lang w:val="en-CA"/>
    </w:rPr>
  </w:style>
  <w:style w:type="character" w:styleId="Strong">
    <w:name w:val="Strong"/>
    <w:basedOn w:val="DefaultParagraphFont"/>
    <w:uiPriority w:val="22"/>
    <w:semiHidden/>
    <w:rPr>
      <w:b/>
      <w:bCs/>
      <w:lang w:val="en-CA"/>
    </w:rPr>
  </w:style>
  <w:style w:type="character" w:styleId="SubtleEmphasis">
    <w:name w:val="Subtle Emphasis"/>
    <w:basedOn w:val="DefaultParagraphFont"/>
    <w:uiPriority w:val="19"/>
    <w:semiHidden/>
    <w:rPr>
      <w:i/>
      <w:iCs/>
      <w:color w:val="808080" w:themeColor="text1" w:themeTint="7F"/>
      <w:lang w:val="en-CA"/>
    </w:rPr>
  </w:style>
  <w:style w:type="character" w:styleId="SubtleReference">
    <w:name w:val="Subtle Reference"/>
    <w:basedOn w:val="DefaultParagraphFont"/>
    <w:uiPriority w:val="31"/>
    <w:semiHidden/>
    <w:rPr>
      <w:smallCaps/>
      <w:color w:val="C0504D" w:themeColor="accent2"/>
      <w:u w:val="single"/>
      <w:lang w:val="en-CA"/>
    </w:rPr>
  </w:style>
  <w:style w:type="table" w:styleId="Table3Deffects1">
    <w:name w:val="Table 3D effects 1"/>
    <w:basedOn w:val="TableNormal"/>
    <w:uiPriority w:val="99"/>
    <w:semiHidden/>
    <w:unhideWhenUse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pPr>
      <w:ind w:left="200" w:hanging="200"/>
    </w:pPr>
  </w:style>
  <w:style w:type="paragraph" w:styleId="TableofFigures">
    <w:name w:val="table of figures"/>
    <w:basedOn w:val="Normal"/>
    <w:next w:val="Normal"/>
    <w:uiPriority w:val="99"/>
    <w:semiHidden/>
  </w:style>
  <w:style w:type="table" w:styleId="TableProfessional">
    <w:name w:val="Table Professional"/>
    <w:basedOn w:val="TableNormal"/>
    <w:uiPriority w:val="99"/>
    <w:semiHidden/>
    <w:unhideWhenUse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Para4Char">
    <w:name w:val="Para4 Char"/>
    <w:basedOn w:val="DefaultParagraphFont"/>
    <w:link w:val="Para4"/>
    <w:rPr>
      <w:lang w:val="en-CA"/>
    </w:rPr>
  </w:style>
  <w:style w:type="paragraph" w:customStyle="1" w:styleId="Para5">
    <w:name w:val="Para5"/>
    <w:basedOn w:val="Normal"/>
    <w:link w:val="Para5Char"/>
    <w:pPr>
      <w:spacing w:after="240"/>
      <w:ind w:left="3600"/>
    </w:pPr>
  </w:style>
  <w:style w:type="character" w:customStyle="1" w:styleId="Para5Char">
    <w:name w:val="Para5 Char"/>
    <w:basedOn w:val="DefaultParagraphFont"/>
    <w:link w:val="Para5"/>
    <w:rPr>
      <w:lang w:val="en-CA"/>
    </w:rPr>
  </w:style>
  <w:style w:type="paragraph" w:customStyle="1" w:styleId="Para6">
    <w:name w:val="Para6"/>
    <w:basedOn w:val="Normal"/>
    <w:link w:val="Para6Char"/>
    <w:pPr>
      <w:spacing w:after="240"/>
      <w:ind w:left="4320"/>
    </w:pPr>
  </w:style>
  <w:style w:type="character" w:customStyle="1" w:styleId="Para6Char">
    <w:name w:val="Para6 Char"/>
    <w:basedOn w:val="DefaultParagraphFont"/>
    <w:link w:val="Para6"/>
    <w:rPr>
      <w:lang w:val="en-CA"/>
    </w:rPr>
  </w:style>
  <w:style w:type="paragraph" w:customStyle="1" w:styleId="Para7">
    <w:name w:val="Para7"/>
    <w:basedOn w:val="Normal"/>
    <w:link w:val="Para7Char"/>
    <w:semiHidden/>
    <w:pPr>
      <w:spacing w:after="240"/>
      <w:ind w:left="5040"/>
    </w:pPr>
  </w:style>
  <w:style w:type="character" w:customStyle="1" w:styleId="Para7Char">
    <w:name w:val="Para7 Char"/>
    <w:basedOn w:val="DefaultParagraphFont"/>
    <w:link w:val="Para7"/>
    <w:semiHidden/>
    <w:rPr>
      <w:lang w:val="en-CA"/>
    </w:rPr>
  </w:style>
  <w:style w:type="paragraph" w:customStyle="1" w:styleId="Para8">
    <w:name w:val="Para8"/>
    <w:basedOn w:val="Normal"/>
    <w:link w:val="Para8Char"/>
    <w:semiHidden/>
    <w:pPr>
      <w:spacing w:after="240"/>
      <w:ind w:left="5760"/>
    </w:pPr>
  </w:style>
  <w:style w:type="character" w:customStyle="1" w:styleId="Para8Char">
    <w:name w:val="Para8 Char"/>
    <w:basedOn w:val="DefaultParagraphFont"/>
    <w:link w:val="Para8"/>
    <w:semiHidden/>
    <w:rPr>
      <w:lang w:val="en-CA"/>
    </w:rPr>
  </w:style>
  <w:style w:type="paragraph" w:customStyle="1" w:styleId="Para9">
    <w:name w:val="Para9"/>
    <w:basedOn w:val="Normal"/>
    <w:link w:val="Para9Char"/>
    <w:semiHidden/>
    <w:pPr>
      <w:spacing w:after="240"/>
      <w:ind w:left="6480"/>
    </w:pPr>
  </w:style>
  <w:style w:type="character" w:customStyle="1" w:styleId="Para9Char">
    <w:name w:val="Para9 Char"/>
    <w:basedOn w:val="DefaultParagraphFont"/>
    <w:link w:val="Para9"/>
    <w:semiHidden/>
    <w:rPr>
      <w:lang w:val="en-CA"/>
    </w:rPr>
  </w:style>
  <w:style w:type="numbering" w:customStyle="1" w:styleId="CurrentList1">
    <w:name w:val="Current List1"/>
    <w:uiPriority w:val="99"/>
    <w:pPr>
      <w:numPr>
        <w:numId w:val="13"/>
      </w:numPr>
    </w:pPr>
  </w:style>
  <w:style w:type="numbering" w:customStyle="1" w:styleId="CurrentList2">
    <w:name w:val="Current List2"/>
    <w:uiPriority w:val="99"/>
    <w:pPr>
      <w:numPr>
        <w:numId w:val="14"/>
      </w:numPr>
    </w:pPr>
  </w:style>
  <w:style w:type="character" w:customStyle="1" w:styleId="DocIDChar">
    <w:name w:val="DocID Char"/>
    <w:basedOn w:val="TextJustifiedChar"/>
    <w:link w:val="DocID"/>
    <w:rPr>
      <w:rFonts w:eastAsia="Times New Roman" w:cs="Arial"/>
      <w:sz w:val="16"/>
      <w:lang w:val="en-US"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Revision">
    <w:name w:val="Revision"/>
    <w:hidden/>
    <w:uiPriority w:val="99"/>
    <w:semiHidden/>
    <w:pPr>
      <w:spacing w:line="240" w:lineRule="auto"/>
    </w:pPr>
    <w:rPr>
      <w:lang w:val="en-CA"/>
    </w:rPr>
  </w:style>
  <w:style w:type="character" w:styleId="UnresolvedMention">
    <w:name w:val="Unresolved Mention"/>
    <w:basedOn w:val="DefaultParagraphFont"/>
    <w:uiPriority w:val="99"/>
    <w:semiHidden/>
    <w:unhideWhenUsed/>
    <w:rPr>
      <w:color w:val="605E5C"/>
      <w:shd w:val="clear" w:color="auto" w:fill="E1DFDD"/>
    </w:rPr>
  </w:style>
  <w:style w:type="character" w:customStyle="1" w:styleId="TextLeftChar">
    <w:name w:val="Text Left Char"/>
    <w:basedOn w:val="DefaultParagraphFont"/>
    <w:link w:val="TextLeft"/>
    <w:rPr>
      <w:lang w:val="en-CA"/>
    </w:rPr>
  </w:style>
  <w:style w:type="paragraph" w:customStyle="1" w:styleId="Bullet5">
    <w:name w:val="Bullet 5"/>
    <w:basedOn w:val="Normal"/>
    <w:uiPriority w:val="29"/>
    <w:rsid w:val="001C6596"/>
    <w:pPr>
      <w:tabs>
        <w:tab w:val="num" w:pos="3600"/>
      </w:tabs>
      <w:spacing w:before="240" w:line="240" w:lineRule="auto"/>
      <w:ind w:left="3600" w:hanging="720"/>
      <w:jc w:val="both"/>
    </w:pPr>
    <w:rPr>
      <w:rFonts w:asciiTheme="minorHAnsi" w:eastAsiaTheme="minorEastAsia" w:hAnsiTheme="minorHAnsi" w:cstheme="minorHAnsi"/>
      <w:szCs w:val="22"/>
      <w:lang w:eastAsia="zh-CN"/>
    </w:rPr>
  </w:style>
  <w:style w:type="paragraph" w:customStyle="1" w:styleId="Bullet6">
    <w:name w:val="Bullet 6"/>
    <w:basedOn w:val="Normal"/>
    <w:uiPriority w:val="29"/>
    <w:rsid w:val="001C6596"/>
    <w:pPr>
      <w:tabs>
        <w:tab w:val="num" w:pos="4320"/>
      </w:tabs>
      <w:spacing w:before="240" w:line="240" w:lineRule="auto"/>
      <w:ind w:left="4320" w:hanging="720"/>
      <w:jc w:val="both"/>
    </w:pPr>
    <w:rPr>
      <w:rFonts w:asciiTheme="minorHAnsi" w:eastAsiaTheme="minorEastAsia" w:hAnsiTheme="minorHAnsi" w:cstheme="minorHAnsi"/>
      <w:szCs w:val="22"/>
      <w:lang w:eastAsia="zh-CN"/>
    </w:rPr>
  </w:style>
  <w:style w:type="paragraph" w:customStyle="1" w:styleId="Bullet7">
    <w:name w:val="Bullet 7"/>
    <w:basedOn w:val="Normal"/>
    <w:uiPriority w:val="29"/>
    <w:rsid w:val="001C6596"/>
    <w:pPr>
      <w:tabs>
        <w:tab w:val="num" w:pos="5040"/>
      </w:tabs>
      <w:spacing w:before="240" w:line="240" w:lineRule="auto"/>
      <w:ind w:left="5040" w:hanging="720"/>
      <w:jc w:val="both"/>
    </w:pPr>
    <w:rPr>
      <w:rFonts w:asciiTheme="minorHAnsi" w:eastAsiaTheme="minorEastAsia" w:hAnsiTheme="minorHAnsi" w:cstheme="minorHAnsi"/>
      <w:szCs w:val="22"/>
      <w:lang w:eastAsia="zh-CN"/>
    </w:rPr>
  </w:style>
  <w:style w:type="paragraph" w:customStyle="1" w:styleId="Bullet8">
    <w:name w:val="Bullet 8"/>
    <w:basedOn w:val="Normal"/>
    <w:uiPriority w:val="29"/>
    <w:rsid w:val="001C6596"/>
    <w:pPr>
      <w:tabs>
        <w:tab w:val="num" w:pos="5760"/>
      </w:tabs>
      <w:spacing w:before="240" w:line="240" w:lineRule="auto"/>
      <w:ind w:left="5760" w:hanging="720"/>
      <w:jc w:val="both"/>
    </w:pPr>
    <w:rPr>
      <w:rFonts w:asciiTheme="minorHAnsi" w:eastAsiaTheme="minorEastAsia" w:hAnsiTheme="minorHAnsi" w:cstheme="minorHAnsi"/>
      <w:szCs w:val="22"/>
      <w:lang w:eastAsia="zh-CN"/>
    </w:rPr>
  </w:style>
  <w:style w:type="paragraph" w:customStyle="1" w:styleId="Bullet9">
    <w:name w:val="Bullet 9"/>
    <w:basedOn w:val="Normal"/>
    <w:uiPriority w:val="29"/>
    <w:rsid w:val="001C6596"/>
    <w:pPr>
      <w:tabs>
        <w:tab w:val="num" w:pos="6480"/>
      </w:tabs>
      <w:spacing w:before="240" w:line="240" w:lineRule="auto"/>
      <w:ind w:left="6480" w:hanging="720"/>
      <w:jc w:val="both"/>
    </w:pPr>
    <w:rPr>
      <w:rFonts w:asciiTheme="minorHAnsi" w:eastAsiaTheme="minorEastAsia" w:hAnsiTheme="minorHAnsi" w:cstheme="minorHAnsi"/>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5002285">
      <w:bodyDiv w:val="1"/>
      <w:marLeft w:val="0"/>
      <w:marRight w:val="0"/>
      <w:marTop w:val="0"/>
      <w:marBottom w:val="0"/>
      <w:divBdr>
        <w:top w:val="none" w:sz="0" w:space="0" w:color="auto"/>
        <w:left w:val="none" w:sz="0" w:space="0" w:color="auto"/>
        <w:bottom w:val="none" w:sz="0" w:space="0" w:color="auto"/>
        <w:right w:val="none" w:sz="0" w:space="0" w:color="auto"/>
      </w:divBdr>
    </w:div>
    <w:div w:id="1378898971">
      <w:bodyDiv w:val="1"/>
      <w:marLeft w:val="0"/>
      <w:marRight w:val="0"/>
      <w:marTop w:val="0"/>
      <w:marBottom w:val="0"/>
      <w:divBdr>
        <w:top w:val="none" w:sz="0" w:space="0" w:color="auto"/>
        <w:left w:val="none" w:sz="0" w:space="0" w:color="auto"/>
        <w:bottom w:val="none" w:sz="0" w:space="0" w:color="auto"/>
        <w:right w:val="none" w:sz="0" w:space="0" w:color="auto"/>
      </w:divBdr>
    </w:div>
    <w:div w:id="1389650769">
      <w:bodyDiv w:val="1"/>
      <w:marLeft w:val="0"/>
      <w:marRight w:val="0"/>
      <w:marTop w:val="0"/>
      <w:marBottom w:val="0"/>
      <w:divBdr>
        <w:top w:val="none" w:sz="0" w:space="0" w:color="auto"/>
        <w:left w:val="none" w:sz="0" w:space="0" w:color="auto"/>
        <w:bottom w:val="none" w:sz="0" w:space="0" w:color="auto"/>
        <w:right w:val="none" w:sz="0" w:space="0" w:color="auto"/>
      </w:divBdr>
    </w:div>
    <w:div w:id="1405493041">
      <w:bodyDiv w:val="1"/>
      <w:marLeft w:val="0"/>
      <w:marRight w:val="0"/>
      <w:marTop w:val="0"/>
      <w:marBottom w:val="0"/>
      <w:divBdr>
        <w:top w:val="none" w:sz="0" w:space="0" w:color="auto"/>
        <w:left w:val="none" w:sz="0" w:space="0" w:color="auto"/>
        <w:bottom w:val="none" w:sz="0" w:space="0" w:color="auto"/>
        <w:right w:val="none" w:sz="0" w:space="0" w:color="auto"/>
      </w:divBdr>
    </w:div>
    <w:div w:id="1539854886">
      <w:bodyDiv w:val="1"/>
      <w:marLeft w:val="0"/>
      <w:marRight w:val="0"/>
      <w:marTop w:val="0"/>
      <w:marBottom w:val="0"/>
      <w:divBdr>
        <w:top w:val="none" w:sz="0" w:space="0" w:color="auto"/>
        <w:left w:val="none" w:sz="0" w:space="0" w:color="auto"/>
        <w:bottom w:val="none" w:sz="0" w:space="0" w:color="auto"/>
        <w:right w:val="none" w:sz="0" w:space="0" w:color="auto"/>
      </w:divBdr>
    </w:div>
    <w:div w:id="1598246019">
      <w:bodyDiv w:val="1"/>
      <w:marLeft w:val="0"/>
      <w:marRight w:val="0"/>
      <w:marTop w:val="0"/>
      <w:marBottom w:val="0"/>
      <w:divBdr>
        <w:top w:val="none" w:sz="0" w:space="0" w:color="auto"/>
        <w:left w:val="none" w:sz="0" w:space="0" w:color="auto"/>
        <w:bottom w:val="none" w:sz="0" w:space="0" w:color="auto"/>
        <w:right w:val="none" w:sz="0" w:space="0" w:color="auto"/>
      </w:divBdr>
    </w:div>
    <w:div w:id="1689716574">
      <w:bodyDiv w:val="1"/>
      <w:marLeft w:val="0"/>
      <w:marRight w:val="0"/>
      <w:marTop w:val="0"/>
      <w:marBottom w:val="0"/>
      <w:divBdr>
        <w:top w:val="none" w:sz="0" w:space="0" w:color="auto"/>
        <w:left w:val="none" w:sz="0" w:space="0" w:color="auto"/>
        <w:bottom w:val="none" w:sz="0" w:space="0" w:color="auto"/>
        <w:right w:val="none" w:sz="0" w:space="0" w:color="auto"/>
      </w:divBdr>
    </w:div>
    <w:div w:id="1896814672">
      <w:bodyDiv w:val="1"/>
      <w:marLeft w:val="0"/>
      <w:marRight w:val="0"/>
      <w:marTop w:val="0"/>
      <w:marBottom w:val="0"/>
      <w:divBdr>
        <w:top w:val="none" w:sz="0" w:space="0" w:color="auto"/>
        <w:left w:val="none" w:sz="0" w:space="0" w:color="auto"/>
        <w:bottom w:val="none" w:sz="0" w:space="0" w:color="auto"/>
        <w:right w:val="none" w:sz="0" w:space="0" w:color="auto"/>
      </w:divBdr>
    </w:div>
    <w:div w:id="19868587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arplus.c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agoil.com/" TargetMode="External"/><Relationship Id="rId5" Type="http://schemas.openxmlformats.org/officeDocument/2006/relationships/footnotes" Target="footnotes.xml"/><Relationship Id="rId10" Type="http://schemas.openxmlformats.org/officeDocument/2006/relationships/hyperlink" Target="http://www.sedarplus.ca" TargetMode="External"/><Relationship Id="rId4" Type="http://schemas.openxmlformats.org/officeDocument/2006/relationships/webSettings" Target="webSettings.xml"/><Relationship Id="rId9" Type="http://schemas.openxmlformats.org/officeDocument/2006/relationships/hyperlink" Target="http://www.sedarplus.c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10</Pages>
  <Words>4352</Words>
  <Characters>23985</Characters>
  <Application>Microsoft Office Word</Application>
  <DocSecurity>0</DocSecurity>
  <Lines>440</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Pawluk, Rick</dc:creator>
  <cp:lastModifiedBy>Pawluk, Rick</cp:lastModifiedBy>
  <cp:revision>11</cp:revision>
  <cp:lastPrinted>2026-02-02T22:22:00Z</cp:lastPrinted>
  <dcterms:created xsi:type="dcterms:W3CDTF">2026-02-03T21:16:00Z</dcterms:created>
  <dcterms:modified xsi:type="dcterms:W3CDTF">2026-02-03T22:27:00Z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String">
    <vt:lpwstr>NATDOCS\91960222\V-2</vt:lpwstr>
  </property>
  <property fmtid="{D5CDD505-2E9C-101B-9397-08002B2CF9AE}" pid="3" name="CUS_DocIDChunk0">
    <vt:lpwstr>NATDOCS\91960222\V-2</vt:lpwstr>
  </property>
  <property fmtid="{D5CDD505-2E9C-101B-9397-08002B2CF9AE}" pid="4" name="CUS_DocIDActiveBits">
    <vt:lpwstr>100352</vt:lpwstr>
  </property>
  <property fmtid="{D5CDD505-2E9C-101B-9397-08002B2CF9AE}" pid="5" name="CUS_DocIDLocation">
    <vt:lpwstr>EVERY_PAGE</vt:lpwstr>
  </property>
  <property fmtid="{D5CDD505-2E9C-101B-9397-08002B2CF9AE}" pid="6" name="CUS_DocIDReference">
    <vt:lpwstr>everyPage</vt:lpwstr>
  </property>
</Properties>
</file>